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C7" w:rsidRPr="0019003F" w:rsidRDefault="007F54C7" w:rsidP="007F54C7">
      <w:pPr>
        <w:jc w:val="center"/>
        <w:rPr>
          <w:rFonts w:ascii="Times New Roman" w:hAnsi="Times New Roman" w:cs="Times New Roman"/>
          <w:sz w:val="28"/>
          <w:szCs w:val="28"/>
        </w:rPr>
      </w:pPr>
      <w:r w:rsidRPr="0019003F">
        <w:rPr>
          <w:rFonts w:ascii="Times New Roman" w:hAnsi="Times New Roman" w:cs="Times New Roman"/>
          <w:sz w:val="28"/>
          <w:szCs w:val="28"/>
        </w:rPr>
        <w:t>House of Commons Work and Pensions Committee</w:t>
      </w:r>
    </w:p>
    <w:p w:rsidR="007F54C7" w:rsidRPr="0019003F" w:rsidRDefault="007F54C7" w:rsidP="007F54C7">
      <w:pPr>
        <w:jc w:val="center"/>
        <w:rPr>
          <w:rFonts w:ascii="Times New Roman" w:hAnsi="Times New Roman" w:cs="Times New Roman"/>
          <w:sz w:val="28"/>
          <w:szCs w:val="28"/>
        </w:rPr>
      </w:pPr>
    </w:p>
    <w:p w:rsidR="007F54C7" w:rsidRPr="0019003F" w:rsidRDefault="007F54C7" w:rsidP="007F54C7">
      <w:pPr>
        <w:jc w:val="center"/>
        <w:rPr>
          <w:rFonts w:ascii="Times New Roman" w:hAnsi="Times New Roman" w:cs="Times New Roman"/>
          <w:b/>
          <w:sz w:val="28"/>
          <w:szCs w:val="28"/>
        </w:rPr>
      </w:pPr>
      <w:r w:rsidRPr="0019003F">
        <w:rPr>
          <w:rFonts w:ascii="Times New Roman" w:hAnsi="Times New Roman" w:cs="Times New Roman"/>
          <w:b/>
          <w:sz w:val="28"/>
          <w:szCs w:val="28"/>
        </w:rPr>
        <w:t>Inquiry into the Role of Jobcentre Plus in the reformed welfare system</w:t>
      </w:r>
    </w:p>
    <w:p w:rsidR="007F54C7" w:rsidRPr="0019003F" w:rsidRDefault="007F54C7" w:rsidP="007F54C7">
      <w:pPr>
        <w:jc w:val="center"/>
        <w:rPr>
          <w:rFonts w:ascii="Times New Roman" w:hAnsi="Times New Roman" w:cs="Times New Roman"/>
          <w:sz w:val="28"/>
          <w:szCs w:val="28"/>
        </w:rPr>
      </w:pPr>
    </w:p>
    <w:p w:rsidR="007F54C7" w:rsidRDefault="007F54C7" w:rsidP="007F54C7">
      <w:pPr>
        <w:jc w:val="center"/>
        <w:rPr>
          <w:rFonts w:ascii="Times New Roman" w:hAnsi="Times New Roman" w:cs="Times New Roman"/>
          <w:sz w:val="24"/>
          <w:szCs w:val="24"/>
        </w:rPr>
      </w:pPr>
    </w:p>
    <w:p w:rsidR="007F54C7" w:rsidRDefault="007F54C7" w:rsidP="007F54C7">
      <w:pPr>
        <w:jc w:val="center"/>
        <w:rPr>
          <w:rFonts w:ascii="Times New Roman" w:hAnsi="Times New Roman" w:cs="Times New Roman"/>
          <w:sz w:val="24"/>
          <w:szCs w:val="24"/>
        </w:rPr>
      </w:pPr>
    </w:p>
    <w:p w:rsidR="007F54C7" w:rsidRDefault="007F54C7" w:rsidP="007F54C7">
      <w:pPr>
        <w:jc w:val="center"/>
        <w:rPr>
          <w:rFonts w:ascii="Times New Roman" w:hAnsi="Times New Roman" w:cs="Times New Roman"/>
          <w:sz w:val="24"/>
          <w:szCs w:val="24"/>
        </w:rPr>
      </w:pPr>
    </w:p>
    <w:p w:rsidR="007F54C7" w:rsidRDefault="007F54C7" w:rsidP="007F54C7">
      <w:pPr>
        <w:jc w:val="center"/>
        <w:rPr>
          <w:rFonts w:ascii="Times New Roman" w:hAnsi="Times New Roman" w:cs="Times New Roman"/>
          <w:b/>
          <w:sz w:val="36"/>
          <w:szCs w:val="36"/>
        </w:rPr>
      </w:pPr>
      <w:r>
        <w:rPr>
          <w:rFonts w:ascii="Times New Roman" w:hAnsi="Times New Roman" w:cs="Times New Roman"/>
          <w:b/>
          <w:sz w:val="36"/>
          <w:szCs w:val="36"/>
        </w:rPr>
        <w:t>GEOGRAPHICAL VARIATIONS IN</w:t>
      </w:r>
    </w:p>
    <w:p w:rsidR="007F54C7" w:rsidRPr="0019003F" w:rsidRDefault="007F54C7" w:rsidP="007F54C7">
      <w:pPr>
        <w:jc w:val="center"/>
        <w:rPr>
          <w:rFonts w:ascii="Times New Roman" w:hAnsi="Times New Roman" w:cs="Times New Roman"/>
          <w:b/>
          <w:sz w:val="36"/>
          <w:szCs w:val="36"/>
        </w:rPr>
      </w:pPr>
      <w:r w:rsidRPr="0019003F">
        <w:rPr>
          <w:rFonts w:ascii="Times New Roman" w:hAnsi="Times New Roman" w:cs="Times New Roman"/>
          <w:b/>
          <w:sz w:val="36"/>
          <w:szCs w:val="36"/>
        </w:rPr>
        <w:t xml:space="preserve">JSA SANCTIONS AND DISALLOWANCES </w:t>
      </w:r>
    </w:p>
    <w:p w:rsidR="007F54C7" w:rsidRDefault="007F54C7" w:rsidP="007F54C7">
      <w:pPr>
        <w:jc w:val="center"/>
        <w:rPr>
          <w:rFonts w:ascii="Times New Roman" w:hAnsi="Times New Roman" w:cs="Times New Roman"/>
          <w:sz w:val="24"/>
          <w:szCs w:val="24"/>
        </w:rPr>
      </w:pPr>
    </w:p>
    <w:p w:rsidR="007F54C7" w:rsidRDefault="007F54C7" w:rsidP="007F54C7">
      <w:pPr>
        <w:jc w:val="center"/>
        <w:rPr>
          <w:rFonts w:ascii="Times New Roman" w:hAnsi="Times New Roman" w:cs="Times New Roman"/>
          <w:sz w:val="24"/>
          <w:szCs w:val="24"/>
        </w:rPr>
      </w:pPr>
    </w:p>
    <w:p w:rsidR="007F54C7" w:rsidRDefault="007F54C7" w:rsidP="007F54C7">
      <w:pPr>
        <w:jc w:val="center"/>
        <w:rPr>
          <w:rFonts w:ascii="Times New Roman" w:hAnsi="Times New Roman" w:cs="Times New Roman"/>
          <w:sz w:val="24"/>
          <w:szCs w:val="24"/>
        </w:rPr>
      </w:pPr>
    </w:p>
    <w:p w:rsidR="007F54C7" w:rsidRDefault="007F54C7" w:rsidP="007F54C7">
      <w:pPr>
        <w:jc w:val="center"/>
        <w:rPr>
          <w:rFonts w:ascii="Times New Roman" w:hAnsi="Times New Roman" w:cs="Times New Roman"/>
          <w:sz w:val="28"/>
          <w:szCs w:val="28"/>
        </w:rPr>
      </w:pPr>
      <w:r w:rsidRPr="00261021">
        <w:rPr>
          <w:rFonts w:ascii="Times New Roman" w:hAnsi="Times New Roman" w:cs="Times New Roman"/>
          <w:b/>
          <w:sz w:val="28"/>
          <w:szCs w:val="28"/>
        </w:rPr>
        <w:t xml:space="preserve">Supplementary </w:t>
      </w:r>
      <w:r w:rsidRPr="00261021">
        <w:rPr>
          <w:rFonts w:ascii="Times New Roman" w:hAnsi="Times New Roman" w:cs="Times New Roman"/>
          <w:sz w:val="28"/>
          <w:szCs w:val="28"/>
        </w:rPr>
        <w:t xml:space="preserve">evidence </w:t>
      </w:r>
      <w:r w:rsidRPr="0019003F">
        <w:rPr>
          <w:rFonts w:ascii="Times New Roman" w:hAnsi="Times New Roman" w:cs="Times New Roman"/>
          <w:sz w:val="28"/>
          <w:szCs w:val="28"/>
        </w:rPr>
        <w:t xml:space="preserve">submitted by </w:t>
      </w:r>
    </w:p>
    <w:p w:rsidR="007F54C7" w:rsidRPr="0019003F" w:rsidRDefault="007F54C7" w:rsidP="007F54C7">
      <w:pPr>
        <w:jc w:val="center"/>
        <w:rPr>
          <w:rFonts w:ascii="Times New Roman" w:hAnsi="Times New Roman" w:cs="Times New Roman"/>
          <w:sz w:val="28"/>
          <w:szCs w:val="28"/>
        </w:rPr>
      </w:pPr>
    </w:p>
    <w:p w:rsidR="007F54C7" w:rsidRPr="0019003F" w:rsidRDefault="007F54C7" w:rsidP="007F54C7">
      <w:pPr>
        <w:jc w:val="center"/>
        <w:rPr>
          <w:rFonts w:ascii="Times New Roman" w:hAnsi="Times New Roman" w:cs="Times New Roman"/>
          <w:sz w:val="28"/>
          <w:szCs w:val="28"/>
        </w:rPr>
      </w:pPr>
      <w:r w:rsidRPr="0019003F">
        <w:rPr>
          <w:rFonts w:ascii="Times New Roman" w:hAnsi="Times New Roman" w:cs="Times New Roman"/>
          <w:sz w:val="28"/>
          <w:szCs w:val="28"/>
        </w:rPr>
        <w:t>Dr David Webster</w:t>
      </w:r>
    </w:p>
    <w:p w:rsidR="007F54C7" w:rsidRPr="0019003F" w:rsidRDefault="007F54C7" w:rsidP="007F54C7">
      <w:pPr>
        <w:jc w:val="center"/>
        <w:rPr>
          <w:rFonts w:ascii="Times New Roman" w:hAnsi="Times New Roman" w:cs="Times New Roman"/>
          <w:sz w:val="28"/>
          <w:szCs w:val="28"/>
        </w:rPr>
      </w:pPr>
      <w:r w:rsidRPr="0019003F">
        <w:rPr>
          <w:rFonts w:ascii="Times New Roman" w:hAnsi="Times New Roman" w:cs="Times New Roman"/>
          <w:sz w:val="28"/>
          <w:szCs w:val="28"/>
        </w:rPr>
        <w:t>Honorary Senior Research Fellow, Urban Studies, University of Glasgow</w:t>
      </w:r>
    </w:p>
    <w:p w:rsidR="007F54C7" w:rsidRPr="0019003F" w:rsidRDefault="007F54C7" w:rsidP="007F54C7">
      <w:pPr>
        <w:jc w:val="center"/>
        <w:rPr>
          <w:rFonts w:ascii="Times New Roman" w:hAnsi="Times New Roman" w:cs="Times New Roman"/>
          <w:sz w:val="28"/>
          <w:szCs w:val="28"/>
        </w:rPr>
      </w:pPr>
    </w:p>
    <w:p w:rsidR="0039184C" w:rsidRDefault="00B17FA6" w:rsidP="007F54C7">
      <w:pPr>
        <w:jc w:val="center"/>
        <w:rPr>
          <w:rFonts w:ascii="Times New Roman" w:hAnsi="Times New Roman" w:cs="Times New Roman"/>
          <w:sz w:val="28"/>
          <w:szCs w:val="28"/>
        </w:rPr>
      </w:pPr>
      <w:r>
        <w:rPr>
          <w:rFonts w:ascii="Times New Roman" w:hAnsi="Times New Roman" w:cs="Times New Roman"/>
          <w:sz w:val="28"/>
          <w:szCs w:val="28"/>
        </w:rPr>
        <w:t>8</w:t>
      </w:r>
      <w:r w:rsidR="00955AA1">
        <w:rPr>
          <w:rFonts w:ascii="Times New Roman" w:hAnsi="Times New Roman" w:cs="Times New Roman"/>
          <w:sz w:val="28"/>
          <w:szCs w:val="28"/>
        </w:rPr>
        <w:t xml:space="preserve"> August</w:t>
      </w:r>
      <w:r w:rsidR="007F54C7" w:rsidRPr="0019003F">
        <w:rPr>
          <w:rFonts w:ascii="Times New Roman" w:hAnsi="Times New Roman" w:cs="Times New Roman"/>
          <w:sz w:val="28"/>
          <w:szCs w:val="28"/>
        </w:rPr>
        <w:t xml:space="preserve"> 2013</w:t>
      </w:r>
    </w:p>
    <w:p w:rsidR="007F54C7" w:rsidRPr="005643F6" w:rsidRDefault="007F54C7" w:rsidP="007F54C7">
      <w:pPr>
        <w:jc w:val="center"/>
        <w:rPr>
          <w:rFonts w:ascii="Times New Roman" w:hAnsi="Times New Roman" w:cs="Times New Roman"/>
          <w:sz w:val="24"/>
          <w:szCs w:val="24"/>
        </w:rPr>
      </w:pPr>
    </w:p>
    <w:p w:rsidR="00325F6C" w:rsidRPr="000A6FF5" w:rsidRDefault="00B34DA2" w:rsidP="00325F6C">
      <w:pPr>
        <w:jc w:val="center"/>
        <w:rPr>
          <w:rFonts w:ascii="Times New Roman" w:hAnsi="Times New Roman" w:cs="Times New Roman"/>
          <w:color w:val="FF0000"/>
          <w:sz w:val="24"/>
          <w:szCs w:val="24"/>
        </w:rPr>
      </w:pPr>
      <w:hyperlink r:id="rId8" w:history="1">
        <w:r w:rsidRPr="00816D76">
          <w:rPr>
            <w:rStyle w:val="Hyperlink"/>
            <w:rFonts w:ascii="Times New Roman" w:hAnsi="Times New Roman" w:cs="Times New Roman"/>
            <w:sz w:val="24"/>
            <w:szCs w:val="24"/>
          </w:rPr>
          <w:t>http://www.publications.parliament.uk/pa/cm201314/cmselect/cmworpen/479/479vw.pdf</w:t>
        </w:r>
      </w:hyperlink>
      <w:r>
        <w:rPr>
          <w:rFonts w:ascii="Times New Roman" w:hAnsi="Times New Roman" w:cs="Times New Roman"/>
          <w:color w:val="FF0000"/>
          <w:sz w:val="24"/>
          <w:szCs w:val="24"/>
        </w:rPr>
        <w:t xml:space="preserve">, pp. </w:t>
      </w:r>
      <w:proofErr w:type="spellStart"/>
      <w:r>
        <w:rPr>
          <w:rFonts w:ascii="Times New Roman" w:hAnsi="Times New Roman" w:cs="Times New Roman"/>
          <w:color w:val="FF0000"/>
          <w:sz w:val="24"/>
          <w:szCs w:val="24"/>
        </w:rPr>
        <w:t>Ev</w:t>
      </w:r>
      <w:proofErr w:type="spellEnd"/>
      <w:r>
        <w:rPr>
          <w:rFonts w:ascii="Times New Roman" w:hAnsi="Times New Roman" w:cs="Times New Roman"/>
          <w:color w:val="FF0000"/>
          <w:sz w:val="24"/>
          <w:szCs w:val="24"/>
        </w:rPr>
        <w:t xml:space="preserve"> w101-w111</w:t>
      </w:r>
    </w:p>
    <w:p w:rsidR="007F54C7" w:rsidRPr="005643F6" w:rsidRDefault="007F54C7" w:rsidP="007F54C7">
      <w:pPr>
        <w:jc w:val="center"/>
        <w:rPr>
          <w:rFonts w:ascii="Times New Roman" w:hAnsi="Times New Roman" w:cs="Times New Roman"/>
          <w:sz w:val="24"/>
          <w:szCs w:val="24"/>
        </w:rPr>
      </w:pPr>
    </w:p>
    <w:p w:rsidR="007F54C7" w:rsidRPr="005643F6" w:rsidRDefault="007F54C7" w:rsidP="007F54C7">
      <w:pPr>
        <w:jc w:val="center"/>
        <w:rPr>
          <w:rFonts w:ascii="Times New Roman" w:hAnsi="Times New Roman" w:cs="Times New Roman"/>
          <w:sz w:val="24"/>
          <w:szCs w:val="24"/>
        </w:rPr>
      </w:pPr>
    </w:p>
    <w:p w:rsidR="005643F6" w:rsidRPr="005643F6" w:rsidRDefault="005643F6" w:rsidP="007F54C7">
      <w:pPr>
        <w:jc w:val="center"/>
        <w:rPr>
          <w:rFonts w:ascii="Times New Roman" w:hAnsi="Times New Roman" w:cs="Times New Roman"/>
          <w:sz w:val="24"/>
          <w:szCs w:val="24"/>
        </w:rPr>
      </w:pPr>
    </w:p>
    <w:p w:rsidR="005643F6" w:rsidRPr="005643F6" w:rsidRDefault="005643F6" w:rsidP="007F54C7">
      <w:pPr>
        <w:jc w:val="center"/>
        <w:rPr>
          <w:rFonts w:ascii="Times New Roman" w:hAnsi="Times New Roman" w:cs="Times New Roman"/>
          <w:b/>
          <w:sz w:val="24"/>
          <w:szCs w:val="24"/>
        </w:rPr>
      </w:pPr>
      <w:r w:rsidRPr="005643F6">
        <w:rPr>
          <w:rFonts w:ascii="Times New Roman" w:hAnsi="Times New Roman" w:cs="Times New Roman"/>
          <w:b/>
          <w:sz w:val="24"/>
          <w:szCs w:val="24"/>
        </w:rPr>
        <w:t>SUMMARY</w:t>
      </w:r>
    </w:p>
    <w:p w:rsidR="00DD1C75" w:rsidRPr="005643F6" w:rsidRDefault="00DD1C75" w:rsidP="0099120A">
      <w:pPr>
        <w:rPr>
          <w:rFonts w:ascii="Times New Roman" w:hAnsi="Times New Roman" w:cs="Times New Roman"/>
          <w:sz w:val="24"/>
          <w:szCs w:val="24"/>
        </w:rPr>
      </w:pPr>
    </w:p>
    <w:p w:rsidR="004A3B33" w:rsidRDefault="0099120A" w:rsidP="004A3B33">
      <w:pPr>
        <w:rPr>
          <w:rFonts w:ascii="Times New Roman" w:hAnsi="Times New Roman" w:cs="Times New Roman"/>
          <w:sz w:val="24"/>
          <w:szCs w:val="24"/>
        </w:rPr>
      </w:pPr>
      <w:r>
        <w:rPr>
          <w:rFonts w:ascii="Times New Roman" w:hAnsi="Times New Roman" w:cs="Times New Roman"/>
          <w:sz w:val="24"/>
          <w:szCs w:val="24"/>
        </w:rPr>
        <w:t xml:space="preserve">The evidence previously submitted on 22 May 2013 contained an error </w:t>
      </w:r>
      <w:r w:rsidR="006931D0">
        <w:rPr>
          <w:rFonts w:ascii="Times New Roman" w:hAnsi="Times New Roman" w:cs="Times New Roman"/>
          <w:sz w:val="24"/>
          <w:szCs w:val="24"/>
        </w:rPr>
        <w:t xml:space="preserve">(now corrected) </w:t>
      </w:r>
      <w:r>
        <w:rPr>
          <w:rFonts w:ascii="Times New Roman" w:hAnsi="Times New Roman" w:cs="Times New Roman"/>
          <w:sz w:val="24"/>
          <w:szCs w:val="24"/>
        </w:rPr>
        <w:t xml:space="preserve">relating to the variation in the rate of total sanctions/disallowances across areas in relation to unemployment. This supplementary evidence </w:t>
      </w:r>
      <w:r w:rsidR="006931D0">
        <w:rPr>
          <w:rFonts w:ascii="Times New Roman" w:hAnsi="Times New Roman" w:cs="Times New Roman"/>
          <w:sz w:val="24"/>
          <w:szCs w:val="24"/>
        </w:rPr>
        <w:t xml:space="preserve">reports </w:t>
      </w:r>
      <w:r>
        <w:rPr>
          <w:rFonts w:ascii="Times New Roman" w:hAnsi="Times New Roman" w:cs="Times New Roman"/>
          <w:sz w:val="24"/>
          <w:szCs w:val="24"/>
        </w:rPr>
        <w:t xml:space="preserve">a more thorough analysis of geographical variations in sanctions/disallowances. </w:t>
      </w:r>
      <w:r w:rsidR="004A3B33">
        <w:rPr>
          <w:rFonts w:ascii="Times New Roman" w:hAnsi="Times New Roman" w:cs="Times New Roman"/>
          <w:sz w:val="24"/>
          <w:szCs w:val="24"/>
        </w:rPr>
        <w:t xml:space="preserve">It shows that different types of sanction/disallowance relate differently to the local unemployment rate. Those related to leaving a job voluntarily or through misconduct, or to neglect to avail or refusal of a job opportunity, occur more often in areas where jobs are plentiful. Claimants are more often penalised for non-attendance at interviews, or for non-participation in training or employment schemes, in areas where jobs are scarce, although practice in relation to interviews appears to vary widely between local offices. The analysis also shows that there is a lot of variability between Jobcentre Plus offices in the overall rate </w:t>
      </w:r>
      <w:r w:rsidR="004B087B">
        <w:rPr>
          <w:rFonts w:ascii="Times New Roman" w:hAnsi="Times New Roman" w:cs="Times New Roman"/>
          <w:sz w:val="24"/>
          <w:szCs w:val="24"/>
        </w:rPr>
        <w:t xml:space="preserve">of </w:t>
      </w:r>
      <w:r w:rsidR="00EB0DA2">
        <w:rPr>
          <w:rFonts w:ascii="Times New Roman" w:hAnsi="Times New Roman" w:cs="Times New Roman"/>
          <w:sz w:val="24"/>
          <w:szCs w:val="24"/>
        </w:rPr>
        <w:t>referrals for sanction</w:t>
      </w:r>
      <w:r w:rsidR="004A3B33">
        <w:rPr>
          <w:rFonts w:ascii="Times New Roman" w:hAnsi="Times New Roman" w:cs="Times New Roman"/>
          <w:sz w:val="24"/>
          <w:szCs w:val="24"/>
        </w:rPr>
        <w:t>/disallowance. Th</w:t>
      </w:r>
      <w:r w:rsidR="009B2051">
        <w:rPr>
          <w:rFonts w:ascii="Times New Roman" w:hAnsi="Times New Roman" w:cs="Times New Roman"/>
          <w:sz w:val="24"/>
          <w:szCs w:val="24"/>
        </w:rPr>
        <w:t xml:space="preserve">is </w:t>
      </w:r>
      <w:r w:rsidR="004A3B33">
        <w:rPr>
          <w:rFonts w:ascii="Times New Roman" w:hAnsi="Times New Roman" w:cs="Times New Roman"/>
          <w:sz w:val="24"/>
          <w:szCs w:val="24"/>
        </w:rPr>
        <w:t xml:space="preserve">variability </w:t>
      </w:r>
      <w:r w:rsidR="009B2051">
        <w:rPr>
          <w:rFonts w:ascii="Times New Roman" w:hAnsi="Times New Roman" w:cs="Times New Roman"/>
          <w:sz w:val="24"/>
          <w:szCs w:val="24"/>
        </w:rPr>
        <w:t xml:space="preserve">does not appear to </w:t>
      </w:r>
      <w:r w:rsidR="004A3B33">
        <w:rPr>
          <w:rFonts w:ascii="Times New Roman" w:hAnsi="Times New Roman" w:cs="Times New Roman"/>
          <w:sz w:val="24"/>
          <w:szCs w:val="24"/>
        </w:rPr>
        <w:t>ha</w:t>
      </w:r>
      <w:r w:rsidR="009B2051">
        <w:rPr>
          <w:rFonts w:ascii="Times New Roman" w:hAnsi="Times New Roman" w:cs="Times New Roman"/>
          <w:sz w:val="24"/>
          <w:szCs w:val="24"/>
        </w:rPr>
        <w:t>ve</w:t>
      </w:r>
      <w:r w:rsidR="004A3B33">
        <w:rPr>
          <w:rFonts w:ascii="Times New Roman" w:hAnsi="Times New Roman" w:cs="Times New Roman"/>
          <w:sz w:val="24"/>
          <w:szCs w:val="24"/>
        </w:rPr>
        <w:t xml:space="preserve"> increased following the abolition of referral benchmarks in April 2011</w:t>
      </w:r>
      <w:r w:rsidR="00793CF7">
        <w:rPr>
          <w:rFonts w:ascii="Times New Roman" w:hAnsi="Times New Roman" w:cs="Times New Roman"/>
          <w:sz w:val="24"/>
          <w:szCs w:val="24"/>
        </w:rPr>
        <w:t xml:space="preserve">. However, </w:t>
      </w:r>
      <w:r w:rsidR="004A3B33">
        <w:rPr>
          <w:rFonts w:ascii="Times New Roman" w:hAnsi="Times New Roman" w:cs="Times New Roman"/>
          <w:sz w:val="24"/>
          <w:szCs w:val="24"/>
        </w:rPr>
        <w:t>the</w:t>
      </w:r>
      <w:r w:rsidR="00405432">
        <w:rPr>
          <w:rFonts w:ascii="Times New Roman" w:hAnsi="Times New Roman" w:cs="Times New Roman"/>
          <w:sz w:val="24"/>
          <w:szCs w:val="24"/>
        </w:rPr>
        <w:t xml:space="preserve"> </w:t>
      </w:r>
      <w:r w:rsidR="00C03917">
        <w:rPr>
          <w:rFonts w:ascii="Times New Roman" w:hAnsi="Times New Roman" w:cs="Times New Roman"/>
          <w:sz w:val="24"/>
          <w:szCs w:val="24"/>
        </w:rPr>
        <w:t xml:space="preserve">average </w:t>
      </w:r>
      <w:r w:rsidR="00405432">
        <w:rPr>
          <w:rFonts w:ascii="Times New Roman" w:hAnsi="Times New Roman" w:cs="Times New Roman"/>
          <w:sz w:val="24"/>
          <w:szCs w:val="24"/>
        </w:rPr>
        <w:t>rate of referrals has increased, suggesting</w:t>
      </w:r>
      <w:r w:rsidR="00C03917">
        <w:rPr>
          <w:rFonts w:ascii="Times New Roman" w:hAnsi="Times New Roman" w:cs="Times New Roman"/>
          <w:sz w:val="24"/>
          <w:szCs w:val="24"/>
        </w:rPr>
        <w:t>,</w:t>
      </w:r>
      <w:r w:rsidR="004A3B33">
        <w:rPr>
          <w:rFonts w:ascii="Times New Roman" w:hAnsi="Times New Roman" w:cs="Times New Roman"/>
          <w:sz w:val="24"/>
          <w:szCs w:val="24"/>
        </w:rPr>
        <w:t xml:space="preserve"> </w:t>
      </w:r>
      <w:r w:rsidR="00C03917">
        <w:rPr>
          <w:rFonts w:ascii="Times New Roman" w:hAnsi="Times New Roman" w:cs="Times New Roman"/>
          <w:sz w:val="24"/>
          <w:szCs w:val="24"/>
        </w:rPr>
        <w:t xml:space="preserve">when taken together with other evidence reported in the media, </w:t>
      </w:r>
      <w:r w:rsidR="004A3B33">
        <w:rPr>
          <w:rFonts w:ascii="Times New Roman" w:hAnsi="Times New Roman" w:cs="Times New Roman"/>
          <w:sz w:val="24"/>
          <w:szCs w:val="24"/>
        </w:rPr>
        <w:t>general pressure on staff to increase sanction</w:t>
      </w:r>
      <w:r w:rsidR="00405432">
        <w:rPr>
          <w:rFonts w:ascii="Times New Roman" w:hAnsi="Times New Roman" w:cs="Times New Roman"/>
          <w:sz w:val="24"/>
          <w:szCs w:val="24"/>
        </w:rPr>
        <w:t>s</w:t>
      </w:r>
      <w:r w:rsidR="004A3B33">
        <w:rPr>
          <w:rFonts w:ascii="Times New Roman" w:hAnsi="Times New Roman" w:cs="Times New Roman"/>
          <w:sz w:val="24"/>
          <w:szCs w:val="24"/>
        </w:rPr>
        <w:t>/disallowance</w:t>
      </w:r>
      <w:r w:rsidR="00405432">
        <w:rPr>
          <w:rFonts w:ascii="Times New Roman" w:hAnsi="Times New Roman" w:cs="Times New Roman"/>
          <w:sz w:val="24"/>
          <w:szCs w:val="24"/>
        </w:rPr>
        <w:t>s</w:t>
      </w:r>
      <w:r w:rsidR="004A3B33">
        <w:rPr>
          <w:rFonts w:ascii="Times New Roman" w:hAnsi="Times New Roman" w:cs="Times New Roman"/>
          <w:sz w:val="24"/>
          <w:szCs w:val="24"/>
        </w:rPr>
        <w:t xml:space="preserve">. Further useful analysis at Jobcentre level would require publication of data by individual reason. The finding that disqualifications for voluntary leaving/misconduct vary inversely with the rate of unemployment across areas as well as over time appears to be new, and casts doubt on the rationale for these disqualifications and particularly for their severity. </w:t>
      </w:r>
    </w:p>
    <w:p w:rsidR="00DD1C75" w:rsidRPr="005643F6" w:rsidRDefault="00DD1C75" w:rsidP="0099120A">
      <w:pPr>
        <w:rPr>
          <w:rFonts w:ascii="Times New Roman" w:hAnsi="Times New Roman" w:cs="Times New Roman"/>
          <w:sz w:val="24"/>
          <w:szCs w:val="24"/>
        </w:rPr>
      </w:pPr>
    </w:p>
    <w:p w:rsidR="00AF2ABF" w:rsidRDefault="00AF2ABF">
      <w:pPr>
        <w:rPr>
          <w:rFonts w:ascii="Times New Roman" w:hAnsi="Times New Roman" w:cs="Times New Roman"/>
          <w:sz w:val="24"/>
          <w:szCs w:val="24"/>
        </w:rPr>
      </w:pPr>
      <w:r>
        <w:rPr>
          <w:rFonts w:ascii="Times New Roman" w:hAnsi="Times New Roman" w:cs="Times New Roman"/>
          <w:sz w:val="24"/>
          <w:szCs w:val="24"/>
        </w:rPr>
        <w:br w:type="page"/>
      </w:r>
    </w:p>
    <w:p w:rsidR="00DD1C75" w:rsidRPr="005643F6" w:rsidRDefault="00DD1C75" w:rsidP="0099120A">
      <w:pPr>
        <w:rPr>
          <w:rFonts w:ascii="Times New Roman" w:hAnsi="Times New Roman" w:cs="Times New Roman"/>
          <w:sz w:val="24"/>
          <w:szCs w:val="24"/>
        </w:rPr>
      </w:pPr>
    </w:p>
    <w:p w:rsidR="00DD1C75" w:rsidRPr="005643F6" w:rsidRDefault="00DD1C75" w:rsidP="0099120A">
      <w:pPr>
        <w:rPr>
          <w:rFonts w:ascii="Times New Roman" w:hAnsi="Times New Roman" w:cs="Times New Roman"/>
          <w:sz w:val="24"/>
          <w:szCs w:val="24"/>
        </w:rPr>
      </w:pPr>
    </w:p>
    <w:p w:rsidR="00DD1C75" w:rsidRPr="005643F6" w:rsidRDefault="00DD1C75" w:rsidP="0099120A">
      <w:pPr>
        <w:rPr>
          <w:rFonts w:ascii="Times New Roman" w:hAnsi="Times New Roman" w:cs="Times New Roman"/>
          <w:sz w:val="24"/>
          <w:szCs w:val="24"/>
        </w:rPr>
      </w:pPr>
      <w:r w:rsidRPr="005643F6">
        <w:rPr>
          <w:rFonts w:ascii="Times New Roman" w:hAnsi="Times New Roman" w:cs="Times New Roman"/>
          <w:sz w:val="24"/>
          <w:szCs w:val="24"/>
        </w:rPr>
        <w:br w:type="page"/>
      </w:r>
    </w:p>
    <w:p w:rsidR="00DD1C75" w:rsidRPr="005643F6" w:rsidRDefault="00DD1C75" w:rsidP="00DD1C75">
      <w:pPr>
        <w:jc w:val="center"/>
        <w:rPr>
          <w:rFonts w:ascii="Times New Roman" w:hAnsi="Times New Roman" w:cs="Times New Roman"/>
          <w:sz w:val="24"/>
          <w:szCs w:val="24"/>
        </w:rPr>
      </w:pPr>
      <w:r w:rsidRPr="005643F6">
        <w:rPr>
          <w:rFonts w:ascii="Times New Roman" w:hAnsi="Times New Roman" w:cs="Times New Roman"/>
          <w:sz w:val="24"/>
          <w:szCs w:val="24"/>
        </w:rPr>
        <w:lastRenderedPageBreak/>
        <w:t>House of Commons Work and Pensions Committee</w:t>
      </w:r>
    </w:p>
    <w:p w:rsidR="00DD1C75" w:rsidRPr="005643F6" w:rsidRDefault="00DD1C75" w:rsidP="00DD1C75">
      <w:pPr>
        <w:jc w:val="center"/>
        <w:rPr>
          <w:rFonts w:ascii="Times New Roman" w:hAnsi="Times New Roman" w:cs="Times New Roman"/>
          <w:sz w:val="24"/>
          <w:szCs w:val="24"/>
        </w:rPr>
      </w:pPr>
    </w:p>
    <w:p w:rsidR="00DD1C75" w:rsidRPr="005643F6" w:rsidRDefault="00DD1C75" w:rsidP="00DD1C75">
      <w:pPr>
        <w:jc w:val="center"/>
        <w:rPr>
          <w:rFonts w:ascii="Times New Roman" w:hAnsi="Times New Roman" w:cs="Times New Roman"/>
          <w:b/>
          <w:sz w:val="24"/>
          <w:szCs w:val="24"/>
        </w:rPr>
      </w:pPr>
      <w:r w:rsidRPr="005643F6">
        <w:rPr>
          <w:rFonts w:ascii="Times New Roman" w:hAnsi="Times New Roman" w:cs="Times New Roman"/>
          <w:b/>
          <w:sz w:val="24"/>
          <w:szCs w:val="24"/>
        </w:rPr>
        <w:t>Inquiry into the Role of Jobcentre Plus in the reformed welfare system</w:t>
      </w:r>
    </w:p>
    <w:p w:rsidR="00DD1C75" w:rsidRPr="005643F6" w:rsidRDefault="00DD1C75" w:rsidP="00DD1C75">
      <w:pPr>
        <w:jc w:val="center"/>
        <w:rPr>
          <w:rFonts w:ascii="Times New Roman" w:hAnsi="Times New Roman" w:cs="Times New Roman"/>
          <w:sz w:val="24"/>
          <w:szCs w:val="24"/>
        </w:rPr>
      </w:pPr>
    </w:p>
    <w:p w:rsidR="00DD1C75" w:rsidRPr="005643F6" w:rsidRDefault="00DD1C75" w:rsidP="00DD1C75">
      <w:pPr>
        <w:jc w:val="center"/>
        <w:rPr>
          <w:rFonts w:ascii="Times New Roman" w:hAnsi="Times New Roman" w:cs="Times New Roman"/>
          <w:sz w:val="24"/>
          <w:szCs w:val="24"/>
        </w:rPr>
      </w:pPr>
    </w:p>
    <w:p w:rsidR="00DD1C75" w:rsidRPr="005643F6" w:rsidRDefault="00DD1C75" w:rsidP="00DD1C75">
      <w:pPr>
        <w:jc w:val="center"/>
        <w:rPr>
          <w:rFonts w:ascii="Times New Roman" w:hAnsi="Times New Roman" w:cs="Times New Roman"/>
          <w:sz w:val="24"/>
          <w:szCs w:val="24"/>
        </w:rPr>
      </w:pPr>
    </w:p>
    <w:p w:rsidR="00DD1C75" w:rsidRPr="005643F6" w:rsidRDefault="00DD1C75" w:rsidP="00DD1C75">
      <w:pPr>
        <w:jc w:val="center"/>
        <w:rPr>
          <w:rFonts w:ascii="Times New Roman" w:hAnsi="Times New Roman" w:cs="Times New Roman"/>
          <w:sz w:val="24"/>
          <w:szCs w:val="24"/>
        </w:rPr>
      </w:pPr>
    </w:p>
    <w:p w:rsidR="00DD1C75" w:rsidRPr="005643F6" w:rsidRDefault="00DD1C75" w:rsidP="00DD1C75">
      <w:pPr>
        <w:jc w:val="center"/>
        <w:rPr>
          <w:rFonts w:ascii="Times New Roman" w:hAnsi="Times New Roman" w:cs="Times New Roman"/>
          <w:b/>
          <w:sz w:val="24"/>
          <w:szCs w:val="24"/>
        </w:rPr>
      </w:pPr>
      <w:r w:rsidRPr="005643F6">
        <w:rPr>
          <w:rFonts w:ascii="Times New Roman" w:hAnsi="Times New Roman" w:cs="Times New Roman"/>
          <w:b/>
          <w:sz w:val="24"/>
          <w:szCs w:val="24"/>
        </w:rPr>
        <w:t>GEOGRAPHICAL VARIATIONS IN</w:t>
      </w:r>
    </w:p>
    <w:p w:rsidR="00DD1C75" w:rsidRPr="005643F6" w:rsidRDefault="00DD1C75" w:rsidP="00DD1C75">
      <w:pPr>
        <w:jc w:val="center"/>
        <w:rPr>
          <w:rFonts w:ascii="Times New Roman" w:hAnsi="Times New Roman" w:cs="Times New Roman"/>
          <w:b/>
          <w:sz w:val="24"/>
          <w:szCs w:val="24"/>
        </w:rPr>
      </w:pPr>
      <w:r w:rsidRPr="005643F6">
        <w:rPr>
          <w:rFonts w:ascii="Times New Roman" w:hAnsi="Times New Roman" w:cs="Times New Roman"/>
          <w:b/>
          <w:sz w:val="24"/>
          <w:szCs w:val="24"/>
        </w:rPr>
        <w:t xml:space="preserve">JSA SANCTIONS AND DISALLOWANCES </w:t>
      </w:r>
    </w:p>
    <w:p w:rsidR="00DD1C75" w:rsidRPr="005643F6" w:rsidRDefault="00DD1C75" w:rsidP="00DD1C75">
      <w:pPr>
        <w:jc w:val="center"/>
        <w:rPr>
          <w:rFonts w:ascii="Times New Roman" w:hAnsi="Times New Roman" w:cs="Times New Roman"/>
          <w:sz w:val="24"/>
          <w:szCs w:val="24"/>
        </w:rPr>
      </w:pPr>
    </w:p>
    <w:p w:rsidR="00DD1C75" w:rsidRPr="00DD1C75" w:rsidRDefault="00DD1C75" w:rsidP="00DD1C75">
      <w:pPr>
        <w:jc w:val="center"/>
        <w:rPr>
          <w:rFonts w:ascii="Times New Roman" w:hAnsi="Times New Roman" w:cs="Times New Roman"/>
          <w:sz w:val="24"/>
          <w:szCs w:val="24"/>
        </w:rPr>
      </w:pPr>
    </w:p>
    <w:p w:rsidR="00DD1C75" w:rsidRPr="00DD1C75" w:rsidRDefault="00DD1C75" w:rsidP="00DD1C75">
      <w:pPr>
        <w:jc w:val="center"/>
        <w:rPr>
          <w:rFonts w:ascii="Times New Roman" w:hAnsi="Times New Roman" w:cs="Times New Roman"/>
          <w:sz w:val="24"/>
          <w:szCs w:val="24"/>
        </w:rPr>
      </w:pPr>
    </w:p>
    <w:p w:rsidR="00DD1C75" w:rsidRPr="00DD1C75" w:rsidRDefault="00DD1C75" w:rsidP="00DD1C75">
      <w:pPr>
        <w:jc w:val="center"/>
        <w:rPr>
          <w:rFonts w:ascii="Times New Roman" w:hAnsi="Times New Roman" w:cs="Times New Roman"/>
          <w:sz w:val="24"/>
          <w:szCs w:val="24"/>
        </w:rPr>
      </w:pPr>
      <w:r w:rsidRPr="00DD1C75">
        <w:rPr>
          <w:rFonts w:ascii="Times New Roman" w:hAnsi="Times New Roman" w:cs="Times New Roman"/>
          <w:sz w:val="24"/>
          <w:szCs w:val="24"/>
        </w:rPr>
        <w:t xml:space="preserve">Supplementary evidence submitted by </w:t>
      </w:r>
    </w:p>
    <w:p w:rsidR="00DD1C75" w:rsidRPr="00DD1C75" w:rsidRDefault="00DD1C75" w:rsidP="00DD1C75">
      <w:pPr>
        <w:jc w:val="center"/>
        <w:rPr>
          <w:rFonts w:ascii="Times New Roman" w:hAnsi="Times New Roman" w:cs="Times New Roman"/>
          <w:sz w:val="24"/>
          <w:szCs w:val="24"/>
        </w:rPr>
      </w:pPr>
    </w:p>
    <w:p w:rsidR="00DD1C75" w:rsidRPr="00DD1C75" w:rsidRDefault="00DD1C75" w:rsidP="00DD1C75">
      <w:pPr>
        <w:jc w:val="center"/>
        <w:rPr>
          <w:rFonts w:ascii="Times New Roman" w:hAnsi="Times New Roman" w:cs="Times New Roman"/>
          <w:sz w:val="24"/>
          <w:szCs w:val="24"/>
        </w:rPr>
      </w:pPr>
      <w:r w:rsidRPr="00DD1C75">
        <w:rPr>
          <w:rFonts w:ascii="Times New Roman" w:hAnsi="Times New Roman" w:cs="Times New Roman"/>
          <w:sz w:val="24"/>
          <w:szCs w:val="24"/>
        </w:rPr>
        <w:t>Dr David Webster</w:t>
      </w:r>
    </w:p>
    <w:p w:rsidR="00DD1C75" w:rsidRPr="00DD1C75" w:rsidRDefault="00DD1C75" w:rsidP="00DD1C75">
      <w:pPr>
        <w:jc w:val="center"/>
        <w:rPr>
          <w:rFonts w:ascii="Times New Roman" w:hAnsi="Times New Roman" w:cs="Times New Roman"/>
          <w:sz w:val="24"/>
          <w:szCs w:val="24"/>
        </w:rPr>
      </w:pPr>
      <w:r w:rsidRPr="00DD1C75">
        <w:rPr>
          <w:rFonts w:ascii="Times New Roman" w:hAnsi="Times New Roman" w:cs="Times New Roman"/>
          <w:sz w:val="24"/>
          <w:szCs w:val="24"/>
        </w:rPr>
        <w:t>Honorary Senior Research Fellow, Urban Studies, University of Glasgow</w:t>
      </w:r>
    </w:p>
    <w:p w:rsidR="00DD1C75" w:rsidRDefault="00DD1C75" w:rsidP="00DD1C75">
      <w:pPr>
        <w:jc w:val="center"/>
        <w:rPr>
          <w:rFonts w:ascii="Times New Roman" w:hAnsi="Times New Roman" w:cs="Times New Roman"/>
          <w:sz w:val="24"/>
          <w:szCs w:val="24"/>
        </w:rPr>
      </w:pPr>
    </w:p>
    <w:p w:rsidR="00DD1C75" w:rsidRDefault="00DD1C75" w:rsidP="00DD1C75">
      <w:pPr>
        <w:jc w:val="center"/>
        <w:rPr>
          <w:rFonts w:ascii="Times New Roman" w:hAnsi="Times New Roman" w:cs="Times New Roman"/>
          <w:sz w:val="24"/>
          <w:szCs w:val="24"/>
        </w:rPr>
      </w:pPr>
    </w:p>
    <w:p w:rsidR="00DD1C75" w:rsidRDefault="00DD1C75" w:rsidP="00DD1C75">
      <w:pPr>
        <w:jc w:val="center"/>
        <w:rPr>
          <w:rFonts w:ascii="Times New Roman" w:hAnsi="Times New Roman" w:cs="Times New Roman"/>
          <w:sz w:val="24"/>
          <w:szCs w:val="24"/>
        </w:rPr>
      </w:pPr>
    </w:p>
    <w:p w:rsidR="006931D0" w:rsidRDefault="00DD1C75" w:rsidP="006931D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Para. 15 and Figure 8 of the Evidence on JSA Sanctions and Disallowances which I submitted on 22 May 2013 addressed the question of </w:t>
      </w:r>
      <w:r w:rsidR="00955AA1">
        <w:rPr>
          <w:rFonts w:ascii="Times New Roman" w:hAnsi="Times New Roman" w:cs="Times New Roman"/>
          <w:sz w:val="24"/>
          <w:szCs w:val="24"/>
        </w:rPr>
        <w:t>geographic</w:t>
      </w:r>
      <w:r>
        <w:rPr>
          <w:rFonts w:ascii="Times New Roman" w:hAnsi="Times New Roman" w:cs="Times New Roman"/>
          <w:sz w:val="24"/>
          <w:szCs w:val="24"/>
        </w:rPr>
        <w:t>al variation</w:t>
      </w:r>
      <w:r w:rsidR="00BC1353">
        <w:rPr>
          <w:rFonts w:ascii="Times New Roman" w:hAnsi="Times New Roman" w:cs="Times New Roman"/>
          <w:sz w:val="24"/>
          <w:szCs w:val="24"/>
        </w:rPr>
        <w:t>s</w:t>
      </w:r>
      <w:r>
        <w:rPr>
          <w:rFonts w:ascii="Times New Roman" w:hAnsi="Times New Roman" w:cs="Times New Roman"/>
          <w:sz w:val="24"/>
          <w:szCs w:val="24"/>
        </w:rPr>
        <w:t xml:space="preserve"> in the incidence of sanctions and disallowances. Further work on this topic revealed a</w:t>
      </w:r>
      <w:r w:rsidR="006931D0">
        <w:rPr>
          <w:rFonts w:ascii="Times New Roman" w:hAnsi="Times New Roman" w:cs="Times New Roman"/>
          <w:sz w:val="24"/>
          <w:szCs w:val="24"/>
        </w:rPr>
        <w:t>n</w:t>
      </w:r>
      <w:r>
        <w:rPr>
          <w:rFonts w:ascii="Times New Roman" w:hAnsi="Times New Roman" w:cs="Times New Roman"/>
          <w:sz w:val="24"/>
          <w:szCs w:val="24"/>
        </w:rPr>
        <w:t xml:space="preserve"> error</w:t>
      </w:r>
      <w:r w:rsidR="006931D0">
        <w:rPr>
          <w:rFonts w:ascii="Times New Roman" w:hAnsi="Times New Roman" w:cs="Times New Roman"/>
          <w:sz w:val="24"/>
          <w:szCs w:val="24"/>
        </w:rPr>
        <w:t xml:space="preserve"> in what was stated there. Although this has now been corrected, the further work has produced some significant findings and the purpose of this supplementary evidence is to report these.</w:t>
      </w:r>
      <w:r>
        <w:rPr>
          <w:rFonts w:ascii="Times New Roman" w:hAnsi="Times New Roman" w:cs="Times New Roman"/>
          <w:sz w:val="24"/>
          <w:szCs w:val="24"/>
        </w:rPr>
        <w:t xml:space="preserve"> </w:t>
      </w:r>
    </w:p>
    <w:p w:rsidR="00DD1C75" w:rsidRDefault="00C86108" w:rsidP="00DD1C7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doing so it </w:t>
      </w:r>
      <w:r w:rsidR="00C75EDD">
        <w:rPr>
          <w:rFonts w:ascii="Times New Roman" w:hAnsi="Times New Roman" w:cs="Times New Roman"/>
          <w:sz w:val="24"/>
          <w:szCs w:val="24"/>
        </w:rPr>
        <w:t>provides some further information on</w:t>
      </w:r>
      <w:r>
        <w:rPr>
          <w:rFonts w:ascii="Times New Roman" w:hAnsi="Times New Roman" w:cs="Times New Roman"/>
          <w:sz w:val="24"/>
          <w:szCs w:val="24"/>
        </w:rPr>
        <w:t xml:space="preserve"> </w:t>
      </w:r>
      <w:r w:rsidR="00BC1353">
        <w:rPr>
          <w:rFonts w:ascii="Times New Roman" w:hAnsi="Times New Roman" w:cs="Times New Roman"/>
          <w:sz w:val="24"/>
          <w:szCs w:val="24"/>
        </w:rPr>
        <w:t>the issue identified by the Committee of ‘</w:t>
      </w:r>
      <w:r w:rsidR="00BC1353" w:rsidRPr="008264D6">
        <w:rPr>
          <w:rFonts w:ascii="Times New Roman" w:hAnsi="Times New Roman" w:cs="Times New Roman"/>
          <w:sz w:val="24"/>
          <w:szCs w:val="24"/>
        </w:rPr>
        <w:t xml:space="preserve">differences of </w:t>
      </w:r>
      <w:r w:rsidR="00BC1353">
        <w:rPr>
          <w:rFonts w:ascii="Times New Roman" w:hAnsi="Times New Roman" w:cs="Times New Roman"/>
          <w:sz w:val="24"/>
          <w:szCs w:val="24"/>
        </w:rPr>
        <w:t xml:space="preserve">approach </w:t>
      </w:r>
      <w:proofErr w:type="gramStart"/>
      <w:r w:rsidR="00BC1353">
        <w:rPr>
          <w:rFonts w:ascii="Times New Roman" w:hAnsi="Times New Roman" w:cs="Times New Roman"/>
          <w:sz w:val="24"/>
          <w:szCs w:val="24"/>
        </w:rPr>
        <w:t>between JCP Districts’</w:t>
      </w:r>
      <w:proofErr w:type="gramEnd"/>
      <w:r w:rsidR="00BC1353">
        <w:rPr>
          <w:rFonts w:ascii="Times New Roman" w:hAnsi="Times New Roman" w:cs="Times New Roman"/>
          <w:sz w:val="24"/>
          <w:szCs w:val="24"/>
        </w:rPr>
        <w:t>.</w:t>
      </w:r>
    </w:p>
    <w:p w:rsidR="00BC1353" w:rsidRDefault="00BC1353" w:rsidP="00DD1C75">
      <w:pPr>
        <w:pStyle w:val="ListParagraph"/>
        <w:ind w:left="0"/>
        <w:rPr>
          <w:rFonts w:ascii="Times New Roman" w:hAnsi="Times New Roman" w:cs="Times New Roman"/>
          <w:sz w:val="24"/>
          <w:szCs w:val="24"/>
        </w:rPr>
      </w:pPr>
    </w:p>
    <w:p w:rsidR="00C74D4C" w:rsidRDefault="001544DE" w:rsidP="00DD1C75">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Starting Point: The </w:t>
      </w:r>
      <w:r w:rsidRPr="001544DE">
        <w:rPr>
          <w:rFonts w:ascii="Times New Roman" w:hAnsi="Times New Roman" w:cs="Times New Roman"/>
          <w:b/>
          <w:i/>
          <w:sz w:val="24"/>
          <w:szCs w:val="24"/>
        </w:rPr>
        <w:t>Guardian</w:t>
      </w:r>
      <w:r>
        <w:rPr>
          <w:rFonts w:ascii="Times New Roman" w:hAnsi="Times New Roman" w:cs="Times New Roman"/>
          <w:b/>
          <w:sz w:val="24"/>
          <w:szCs w:val="24"/>
        </w:rPr>
        <w:t xml:space="preserve">’s Analysis of Fixed Length Sanctions </w:t>
      </w:r>
    </w:p>
    <w:p w:rsidR="001544DE" w:rsidRDefault="001544DE" w:rsidP="00DD1C75">
      <w:pPr>
        <w:pStyle w:val="ListParagraph"/>
        <w:ind w:left="0"/>
        <w:rPr>
          <w:rFonts w:ascii="Times New Roman" w:hAnsi="Times New Roman" w:cs="Times New Roman"/>
          <w:sz w:val="24"/>
          <w:szCs w:val="24"/>
        </w:rPr>
      </w:pPr>
    </w:p>
    <w:p w:rsidR="00C74D4C" w:rsidRPr="00DF1929" w:rsidRDefault="00B544AF" w:rsidP="00DD1C75">
      <w:pPr>
        <w:pStyle w:val="ListParagraph"/>
        <w:ind w:left="0"/>
        <w:rPr>
          <w:rFonts w:ascii="Times New Roman" w:hAnsi="Times New Roman" w:cs="Times New Roman"/>
          <w:b/>
          <w:sz w:val="24"/>
          <w:szCs w:val="24"/>
        </w:rPr>
      </w:pPr>
      <w:r>
        <w:rPr>
          <w:rFonts w:ascii="Times New Roman" w:hAnsi="Times New Roman" w:cs="Times New Roman"/>
          <w:sz w:val="24"/>
          <w:szCs w:val="24"/>
        </w:rPr>
        <w:t>2</w:t>
      </w:r>
      <w:r w:rsidR="00C74D4C" w:rsidRPr="00CB11FA">
        <w:rPr>
          <w:rFonts w:ascii="Times New Roman" w:hAnsi="Times New Roman" w:cs="Times New Roman"/>
          <w:sz w:val="24"/>
          <w:szCs w:val="24"/>
        </w:rPr>
        <w:t xml:space="preserve">. </w:t>
      </w:r>
      <w:r w:rsidR="00955AA1">
        <w:rPr>
          <w:rFonts w:ascii="Times New Roman" w:hAnsi="Times New Roman" w:cs="Times New Roman"/>
          <w:sz w:val="24"/>
          <w:szCs w:val="24"/>
        </w:rPr>
        <w:t xml:space="preserve">The starting point for my previous discussion was an analysis by </w:t>
      </w:r>
      <w:r w:rsidR="00CB11FA" w:rsidRPr="00CB11FA">
        <w:rPr>
          <w:rFonts w:ascii="Times New Roman" w:hAnsi="Times New Roman" w:cs="Times New Roman"/>
          <w:sz w:val="24"/>
          <w:szCs w:val="24"/>
        </w:rPr>
        <w:t>t</w:t>
      </w:r>
      <w:r w:rsidR="00C74D4C" w:rsidRPr="00CB11FA">
        <w:rPr>
          <w:rFonts w:ascii="Times New Roman" w:hAnsi="Times New Roman" w:cs="Times New Roman"/>
          <w:sz w:val="24"/>
          <w:szCs w:val="24"/>
        </w:rPr>
        <w:t>he</w:t>
      </w:r>
      <w:r w:rsidR="00C74D4C" w:rsidRPr="00C74D4C">
        <w:rPr>
          <w:rFonts w:ascii="Times New Roman" w:hAnsi="Times New Roman" w:cs="Times New Roman"/>
          <w:sz w:val="24"/>
          <w:szCs w:val="24"/>
        </w:rPr>
        <w:t xml:space="preserve"> </w:t>
      </w:r>
      <w:r w:rsidR="00C74D4C" w:rsidRPr="00CB11FA">
        <w:rPr>
          <w:rFonts w:ascii="Times New Roman" w:hAnsi="Times New Roman" w:cs="Times New Roman"/>
          <w:i/>
          <w:sz w:val="24"/>
          <w:szCs w:val="24"/>
        </w:rPr>
        <w:t>Guardian</w:t>
      </w:r>
      <w:r w:rsidR="00C74D4C" w:rsidRPr="00C74D4C">
        <w:rPr>
          <w:rFonts w:ascii="Times New Roman" w:hAnsi="Times New Roman" w:cs="Times New Roman"/>
          <w:sz w:val="24"/>
          <w:szCs w:val="24"/>
        </w:rPr>
        <w:t xml:space="preserve"> </w:t>
      </w:r>
      <w:r w:rsidR="00955AA1">
        <w:rPr>
          <w:rFonts w:ascii="Times New Roman" w:hAnsi="Times New Roman" w:cs="Times New Roman"/>
          <w:sz w:val="24"/>
          <w:szCs w:val="24"/>
        </w:rPr>
        <w:t>(</w:t>
      </w:r>
      <w:r w:rsidR="00C74D4C" w:rsidRPr="00C74D4C">
        <w:rPr>
          <w:rFonts w:ascii="Times New Roman" w:hAnsi="Times New Roman" w:cs="Times New Roman"/>
          <w:sz w:val="24"/>
          <w:szCs w:val="24"/>
        </w:rPr>
        <w:t>18 April 2011</w:t>
      </w:r>
      <w:r w:rsidR="00955AA1">
        <w:rPr>
          <w:rFonts w:ascii="Times New Roman" w:hAnsi="Times New Roman" w:cs="Times New Roman"/>
          <w:sz w:val="24"/>
          <w:szCs w:val="24"/>
        </w:rPr>
        <w:t>)</w:t>
      </w:r>
      <w:r w:rsidR="00C74D4C" w:rsidRPr="00C74D4C">
        <w:rPr>
          <w:rFonts w:ascii="Times New Roman" w:hAnsi="Times New Roman" w:cs="Times New Roman"/>
          <w:sz w:val="24"/>
          <w:szCs w:val="24"/>
        </w:rPr>
        <w:t xml:space="preserve"> </w:t>
      </w:r>
      <w:r w:rsidR="00E75060">
        <w:rPr>
          <w:rFonts w:ascii="Times New Roman" w:hAnsi="Times New Roman" w:cs="Times New Roman"/>
          <w:sz w:val="24"/>
          <w:szCs w:val="24"/>
        </w:rPr>
        <w:t xml:space="preserve">of the incidence of </w:t>
      </w:r>
      <w:r w:rsidR="00955AA1">
        <w:rPr>
          <w:rFonts w:ascii="Times New Roman" w:hAnsi="Times New Roman" w:cs="Times New Roman"/>
          <w:sz w:val="24"/>
          <w:szCs w:val="24"/>
        </w:rPr>
        <w:t xml:space="preserve">fixed length sanctions </w:t>
      </w:r>
      <w:r w:rsidR="00E75060">
        <w:rPr>
          <w:rFonts w:ascii="Times New Roman" w:hAnsi="Times New Roman" w:cs="Times New Roman"/>
          <w:sz w:val="24"/>
          <w:szCs w:val="24"/>
        </w:rPr>
        <w:t xml:space="preserve">in relation to </w:t>
      </w:r>
      <w:r w:rsidR="00955AA1">
        <w:rPr>
          <w:rFonts w:ascii="Times New Roman" w:hAnsi="Times New Roman" w:cs="Times New Roman"/>
          <w:sz w:val="24"/>
          <w:szCs w:val="24"/>
        </w:rPr>
        <w:t xml:space="preserve">local </w:t>
      </w:r>
      <w:r w:rsidR="00E75060">
        <w:rPr>
          <w:rFonts w:ascii="Times New Roman" w:hAnsi="Times New Roman" w:cs="Times New Roman"/>
          <w:sz w:val="24"/>
          <w:szCs w:val="24"/>
        </w:rPr>
        <w:t xml:space="preserve">unemployment across local authority areas. </w:t>
      </w:r>
      <w:r w:rsidR="003758C0">
        <w:rPr>
          <w:rFonts w:ascii="Times New Roman" w:hAnsi="Times New Roman" w:cs="Times New Roman"/>
          <w:sz w:val="24"/>
          <w:szCs w:val="24"/>
        </w:rPr>
        <w:t>It concluded that ‘</w:t>
      </w:r>
      <w:r w:rsidR="003758C0" w:rsidRPr="003758C0">
        <w:rPr>
          <w:rFonts w:ascii="Times New Roman" w:hAnsi="Times New Roman" w:cs="Times New Roman"/>
          <w:sz w:val="24"/>
          <w:szCs w:val="24"/>
        </w:rPr>
        <w:t>the regions with high sanction referral rates tend to be more deprived areas</w:t>
      </w:r>
      <w:r w:rsidR="003758C0">
        <w:rPr>
          <w:rFonts w:ascii="Times New Roman" w:hAnsi="Times New Roman" w:cs="Times New Roman"/>
          <w:sz w:val="24"/>
          <w:szCs w:val="24"/>
        </w:rPr>
        <w:t xml:space="preserve">’. </w:t>
      </w:r>
      <w:r w:rsidR="001860C8">
        <w:rPr>
          <w:rFonts w:ascii="Times New Roman" w:hAnsi="Times New Roman" w:cs="Times New Roman"/>
          <w:sz w:val="24"/>
          <w:szCs w:val="24"/>
        </w:rPr>
        <w:t>It attached a spreadsheet</w:t>
      </w:r>
      <w:r w:rsidR="00E151E0">
        <w:rPr>
          <w:rFonts w:ascii="Times New Roman" w:hAnsi="Times New Roman" w:cs="Times New Roman"/>
          <w:sz w:val="24"/>
          <w:szCs w:val="24"/>
        </w:rPr>
        <w:t>.</w:t>
      </w:r>
      <w:r w:rsidR="000633B9">
        <w:rPr>
          <w:rStyle w:val="EndnoteReference"/>
          <w:rFonts w:ascii="Times New Roman" w:hAnsi="Times New Roman" w:cs="Times New Roman"/>
          <w:sz w:val="24"/>
          <w:szCs w:val="24"/>
        </w:rPr>
        <w:endnoteReference w:id="1"/>
      </w:r>
      <w:r w:rsidR="001860C8">
        <w:rPr>
          <w:rFonts w:ascii="Times New Roman" w:hAnsi="Times New Roman" w:cs="Times New Roman"/>
          <w:sz w:val="24"/>
          <w:szCs w:val="24"/>
        </w:rPr>
        <w:t xml:space="preserve"> </w:t>
      </w:r>
      <w:r w:rsidR="003758C0" w:rsidRPr="003758C0">
        <w:rPr>
          <w:rFonts w:ascii="Times New Roman" w:hAnsi="Times New Roman" w:cs="Times New Roman"/>
          <w:sz w:val="24"/>
          <w:szCs w:val="24"/>
        </w:rPr>
        <w:t xml:space="preserve"> </w:t>
      </w:r>
      <w:r w:rsidR="00E151E0">
        <w:rPr>
          <w:rFonts w:ascii="Times New Roman" w:hAnsi="Times New Roman" w:cs="Times New Roman"/>
          <w:sz w:val="24"/>
          <w:szCs w:val="24"/>
        </w:rPr>
        <w:t xml:space="preserve">From the data provided I calculated that the correlation </w:t>
      </w:r>
      <w:r w:rsidR="007A104C">
        <w:rPr>
          <w:rFonts w:ascii="Times New Roman" w:hAnsi="Times New Roman" w:cs="Times New Roman"/>
          <w:sz w:val="24"/>
          <w:szCs w:val="24"/>
        </w:rPr>
        <w:t xml:space="preserve">across local authority areas </w:t>
      </w:r>
      <w:r w:rsidR="009A3A34">
        <w:rPr>
          <w:rFonts w:ascii="Times New Roman" w:hAnsi="Times New Roman" w:cs="Times New Roman"/>
          <w:sz w:val="24"/>
          <w:szCs w:val="24"/>
        </w:rPr>
        <w:t xml:space="preserve">between </w:t>
      </w:r>
      <w:r w:rsidR="00E151E0">
        <w:rPr>
          <w:rFonts w:ascii="Times New Roman" w:hAnsi="Times New Roman" w:cs="Times New Roman"/>
          <w:sz w:val="24"/>
          <w:szCs w:val="24"/>
        </w:rPr>
        <w:t xml:space="preserve">the local unemployment rate and </w:t>
      </w:r>
      <w:r w:rsidR="00C74D4C" w:rsidRPr="00C74D4C">
        <w:rPr>
          <w:rFonts w:ascii="Times New Roman" w:hAnsi="Times New Roman" w:cs="Times New Roman"/>
          <w:sz w:val="24"/>
          <w:szCs w:val="24"/>
        </w:rPr>
        <w:t xml:space="preserve">fixed length sanctions </w:t>
      </w:r>
      <w:r w:rsidR="00E151E0">
        <w:rPr>
          <w:rFonts w:ascii="Times New Roman" w:hAnsi="Times New Roman" w:cs="Times New Roman"/>
          <w:sz w:val="24"/>
          <w:szCs w:val="24"/>
        </w:rPr>
        <w:t xml:space="preserve">as a proportion of JSA claimants was 0.35 for referrals and 0.33 for adverse decisions. </w:t>
      </w:r>
      <w:r w:rsidR="005A7EB4">
        <w:rPr>
          <w:rFonts w:ascii="Times New Roman" w:hAnsi="Times New Roman" w:cs="Times New Roman"/>
          <w:sz w:val="24"/>
          <w:szCs w:val="24"/>
        </w:rPr>
        <w:t>These are modest correlations but statistically significant</w:t>
      </w:r>
      <w:r w:rsidR="00955AA1">
        <w:rPr>
          <w:rFonts w:ascii="Times New Roman" w:hAnsi="Times New Roman" w:cs="Times New Roman"/>
          <w:sz w:val="24"/>
          <w:szCs w:val="24"/>
        </w:rPr>
        <w:t>.</w:t>
      </w:r>
    </w:p>
    <w:p w:rsidR="00E151E0" w:rsidRDefault="00E151E0" w:rsidP="00DD1C75">
      <w:pPr>
        <w:pStyle w:val="ListParagraph"/>
        <w:ind w:left="0"/>
        <w:rPr>
          <w:rFonts w:ascii="Times New Roman" w:hAnsi="Times New Roman" w:cs="Times New Roman"/>
          <w:sz w:val="24"/>
          <w:szCs w:val="24"/>
        </w:rPr>
      </w:pPr>
    </w:p>
    <w:p w:rsidR="00413573" w:rsidRDefault="00B544AF" w:rsidP="00DD1C75">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E151E0">
        <w:rPr>
          <w:rFonts w:ascii="Times New Roman" w:hAnsi="Times New Roman" w:cs="Times New Roman"/>
          <w:sz w:val="24"/>
          <w:szCs w:val="24"/>
        </w:rPr>
        <w:t>.</w:t>
      </w:r>
      <w:r w:rsidR="009A3A34">
        <w:rPr>
          <w:rFonts w:ascii="Times New Roman" w:hAnsi="Times New Roman" w:cs="Times New Roman"/>
          <w:sz w:val="24"/>
          <w:szCs w:val="24"/>
        </w:rPr>
        <w:t xml:space="preserve"> However, these correlations are too low. The </w:t>
      </w:r>
      <w:r w:rsidR="009A3A34" w:rsidRPr="00CA14B9">
        <w:rPr>
          <w:rFonts w:ascii="Times New Roman" w:hAnsi="Times New Roman" w:cs="Times New Roman"/>
          <w:i/>
          <w:sz w:val="24"/>
          <w:szCs w:val="24"/>
        </w:rPr>
        <w:t>Guardian</w:t>
      </w:r>
      <w:r w:rsidR="009A3A34">
        <w:rPr>
          <w:rFonts w:ascii="Times New Roman" w:hAnsi="Times New Roman" w:cs="Times New Roman"/>
          <w:sz w:val="24"/>
          <w:szCs w:val="24"/>
        </w:rPr>
        <w:t xml:space="preserve"> compared </w:t>
      </w:r>
      <w:r w:rsidR="009A3A34" w:rsidRPr="009A3A34">
        <w:rPr>
          <w:rFonts w:ascii="Times New Roman" w:hAnsi="Times New Roman" w:cs="Times New Roman"/>
          <w:i/>
          <w:sz w:val="24"/>
          <w:szCs w:val="24"/>
        </w:rPr>
        <w:t>cumulative</w:t>
      </w:r>
      <w:r w:rsidR="009A3A34">
        <w:rPr>
          <w:rFonts w:ascii="Times New Roman" w:hAnsi="Times New Roman" w:cs="Times New Roman"/>
          <w:sz w:val="24"/>
          <w:szCs w:val="24"/>
        </w:rPr>
        <w:t xml:space="preserve"> fixed length sanctions for each local authority over the whole period April 2000 to October 2010 inclusive, with the </w:t>
      </w:r>
      <w:r w:rsidR="00CA14B9">
        <w:rPr>
          <w:rFonts w:ascii="Times New Roman" w:hAnsi="Times New Roman" w:cs="Times New Roman"/>
          <w:sz w:val="24"/>
          <w:szCs w:val="24"/>
        </w:rPr>
        <w:t xml:space="preserve">DWP’s count of the number of JSA claimants at August 2010 and </w:t>
      </w:r>
      <w:r w:rsidR="009A3A34">
        <w:rPr>
          <w:rFonts w:ascii="Times New Roman" w:hAnsi="Times New Roman" w:cs="Times New Roman"/>
          <w:sz w:val="24"/>
          <w:szCs w:val="24"/>
        </w:rPr>
        <w:t>ONS’s model</w:t>
      </w:r>
      <w:r w:rsidR="00CA14B9">
        <w:rPr>
          <w:rFonts w:ascii="Times New Roman" w:hAnsi="Times New Roman" w:cs="Times New Roman"/>
          <w:sz w:val="24"/>
          <w:szCs w:val="24"/>
        </w:rPr>
        <w:t>-based estimate of ILO unemployment for the year to September 2010</w:t>
      </w:r>
      <w:r w:rsidR="00ED749A">
        <w:rPr>
          <w:rFonts w:ascii="Times New Roman" w:hAnsi="Times New Roman" w:cs="Times New Roman"/>
          <w:sz w:val="24"/>
          <w:szCs w:val="24"/>
        </w:rPr>
        <w:t xml:space="preserve"> (which was missing for 12 authorities)</w:t>
      </w:r>
      <w:r w:rsidR="00CA14B9">
        <w:rPr>
          <w:rFonts w:ascii="Times New Roman" w:hAnsi="Times New Roman" w:cs="Times New Roman"/>
          <w:sz w:val="24"/>
          <w:szCs w:val="24"/>
        </w:rPr>
        <w:t>.</w:t>
      </w:r>
      <w:r w:rsidR="00DA3400">
        <w:rPr>
          <w:rFonts w:ascii="Times New Roman" w:hAnsi="Times New Roman" w:cs="Times New Roman"/>
          <w:sz w:val="24"/>
          <w:szCs w:val="24"/>
        </w:rPr>
        <w:t xml:space="preserve"> This is not comparing like with </w:t>
      </w:r>
      <w:proofErr w:type="gramStart"/>
      <w:r w:rsidR="00DA3400">
        <w:rPr>
          <w:rFonts w:ascii="Times New Roman" w:hAnsi="Times New Roman" w:cs="Times New Roman"/>
          <w:sz w:val="24"/>
          <w:szCs w:val="24"/>
        </w:rPr>
        <w:t>like</w:t>
      </w:r>
      <w:r w:rsidR="001544DE">
        <w:rPr>
          <w:rFonts w:ascii="Times New Roman" w:hAnsi="Times New Roman" w:cs="Times New Roman"/>
          <w:sz w:val="24"/>
          <w:szCs w:val="24"/>
        </w:rPr>
        <w:t>,</w:t>
      </w:r>
      <w:proofErr w:type="gramEnd"/>
      <w:r w:rsidR="001544DE">
        <w:rPr>
          <w:rFonts w:ascii="Times New Roman" w:hAnsi="Times New Roman" w:cs="Times New Roman"/>
          <w:sz w:val="24"/>
          <w:szCs w:val="24"/>
        </w:rPr>
        <w:t xml:space="preserve"> and in addition the DWP count is defective (see </w:t>
      </w:r>
      <w:r w:rsidR="001544DE" w:rsidRPr="001544DE">
        <w:rPr>
          <w:rFonts w:ascii="Times New Roman" w:hAnsi="Times New Roman" w:cs="Times New Roman"/>
          <w:b/>
          <w:sz w:val="24"/>
          <w:szCs w:val="24"/>
        </w:rPr>
        <w:t>Appendix</w:t>
      </w:r>
      <w:r w:rsidR="001544DE">
        <w:rPr>
          <w:rFonts w:ascii="Times New Roman" w:hAnsi="Times New Roman" w:cs="Times New Roman"/>
          <w:sz w:val="24"/>
          <w:szCs w:val="24"/>
        </w:rPr>
        <w:t>)</w:t>
      </w:r>
      <w:r w:rsidR="00DA3400">
        <w:rPr>
          <w:rFonts w:ascii="Times New Roman" w:hAnsi="Times New Roman" w:cs="Times New Roman"/>
          <w:sz w:val="24"/>
          <w:szCs w:val="24"/>
        </w:rPr>
        <w:t xml:space="preserve">. I have recalculated the correlations using </w:t>
      </w:r>
      <w:r w:rsidR="00413573">
        <w:rPr>
          <w:rFonts w:ascii="Times New Roman" w:hAnsi="Times New Roman" w:cs="Times New Roman"/>
          <w:sz w:val="24"/>
          <w:szCs w:val="24"/>
        </w:rPr>
        <w:t xml:space="preserve">means for the whole period April 2000 to October 2010 for both JSA claimants </w:t>
      </w:r>
      <w:r w:rsidR="001544DE">
        <w:rPr>
          <w:rFonts w:ascii="Times New Roman" w:hAnsi="Times New Roman" w:cs="Times New Roman"/>
          <w:sz w:val="24"/>
          <w:szCs w:val="24"/>
        </w:rPr>
        <w:t xml:space="preserve">(on the superior ONS count) </w:t>
      </w:r>
      <w:r w:rsidR="00413573">
        <w:rPr>
          <w:rFonts w:ascii="Times New Roman" w:hAnsi="Times New Roman" w:cs="Times New Roman"/>
          <w:sz w:val="24"/>
          <w:szCs w:val="24"/>
        </w:rPr>
        <w:t>and the unemployment rate.</w:t>
      </w:r>
      <w:r w:rsidR="00413573">
        <w:rPr>
          <w:rStyle w:val="EndnoteReference"/>
          <w:rFonts w:ascii="Times New Roman" w:hAnsi="Times New Roman" w:cs="Times New Roman"/>
          <w:sz w:val="24"/>
          <w:szCs w:val="24"/>
        </w:rPr>
        <w:endnoteReference w:id="2"/>
      </w:r>
      <w:r w:rsidR="00413573">
        <w:rPr>
          <w:rFonts w:ascii="Times New Roman" w:hAnsi="Times New Roman" w:cs="Times New Roman"/>
          <w:sz w:val="24"/>
          <w:szCs w:val="24"/>
        </w:rPr>
        <w:t xml:space="preserve">  </w:t>
      </w:r>
      <w:r w:rsidR="00755460">
        <w:rPr>
          <w:rFonts w:ascii="Times New Roman" w:hAnsi="Times New Roman" w:cs="Times New Roman"/>
          <w:sz w:val="24"/>
          <w:szCs w:val="24"/>
        </w:rPr>
        <w:t xml:space="preserve">This produces </w:t>
      </w:r>
      <w:r w:rsidR="001354B3">
        <w:rPr>
          <w:rFonts w:ascii="Times New Roman" w:hAnsi="Times New Roman" w:cs="Times New Roman"/>
          <w:sz w:val="24"/>
          <w:szCs w:val="24"/>
        </w:rPr>
        <w:t xml:space="preserve">higher </w:t>
      </w:r>
      <w:r w:rsidR="00755460">
        <w:rPr>
          <w:rFonts w:ascii="Times New Roman" w:hAnsi="Times New Roman" w:cs="Times New Roman"/>
          <w:sz w:val="24"/>
          <w:szCs w:val="24"/>
        </w:rPr>
        <w:t>correlations of 0.42 for both referrals</w:t>
      </w:r>
      <w:r w:rsidR="00413573">
        <w:rPr>
          <w:rFonts w:ascii="Times New Roman" w:hAnsi="Times New Roman" w:cs="Times New Roman"/>
          <w:sz w:val="24"/>
          <w:szCs w:val="24"/>
        </w:rPr>
        <w:t xml:space="preserve"> and fixed length sanctions</w:t>
      </w:r>
      <w:r w:rsidR="000E2742">
        <w:rPr>
          <w:rFonts w:ascii="Times New Roman" w:hAnsi="Times New Roman" w:cs="Times New Roman"/>
          <w:sz w:val="24"/>
          <w:szCs w:val="24"/>
        </w:rPr>
        <w:t xml:space="preserve">, thus confirming the </w:t>
      </w:r>
      <w:r w:rsidR="000E2742" w:rsidRPr="000E2742">
        <w:rPr>
          <w:rFonts w:ascii="Times New Roman" w:hAnsi="Times New Roman" w:cs="Times New Roman"/>
          <w:i/>
          <w:sz w:val="24"/>
          <w:szCs w:val="24"/>
        </w:rPr>
        <w:t>Guardian</w:t>
      </w:r>
      <w:r w:rsidR="000E2742">
        <w:rPr>
          <w:rFonts w:ascii="Times New Roman" w:hAnsi="Times New Roman" w:cs="Times New Roman"/>
          <w:sz w:val="24"/>
          <w:szCs w:val="24"/>
        </w:rPr>
        <w:t>’s result but making it rather stronger</w:t>
      </w:r>
      <w:r w:rsidR="00413573">
        <w:rPr>
          <w:rFonts w:ascii="Times New Roman" w:hAnsi="Times New Roman" w:cs="Times New Roman"/>
          <w:sz w:val="24"/>
          <w:szCs w:val="24"/>
        </w:rPr>
        <w:t>.</w:t>
      </w:r>
    </w:p>
    <w:p w:rsidR="00413573" w:rsidRDefault="00413573" w:rsidP="00DD1C75">
      <w:pPr>
        <w:pStyle w:val="ListParagraph"/>
        <w:ind w:left="0"/>
        <w:rPr>
          <w:rFonts w:ascii="Times New Roman" w:hAnsi="Times New Roman" w:cs="Times New Roman"/>
          <w:sz w:val="24"/>
          <w:szCs w:val="24"/>
        </w:rPr>
      </w:pPr>
    </w:p>
    <w:p w:rsidR="00B6747E" w:rsidRDefault="00B6747E" w:rsidP="001544DE">
      <w:pPr>
        <w:pStyle w:val="ListParagraph"/>
        <w:ind w:left="0"/>
        <w:rPr>
          <w:rFonts w:ascii="Times New Roman" w:hAnsi="Times New Roman" w:cs="Times New Roman"/>
          <w:b/>
          <w:sz w:val="24"/>
          <w:szCs w:val="24"/>
        </w:rPr>
      </w:pPr>
    </w:p>
    <w:p w:rsidR="00B6747E" w:rsidRDefault="00B6747E" w:rsidP="001544DE">
      <w:pPr>
        <w:pStyle w:val="ListParagraph"/>
        <w:ind w:left="0"/>
        <w:rPr>
          <w:rFonts w:ascii="Times New Roman" w:hAnsi="Times New Roman" w:cs="Times New Roman"/>
          <w:b/>
          <w:sz w:val="24"/>
          <w:szCs w:val="24"/>
        </w:rPr>
      </w:pPr>
    </w:p>
    <w:p w:rsidR="00A80D3C" w:rsidRDefault="001544DE" w:rsidP="001544DE">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 xml:space="preserve">Geographical Variations in Sanctions/Disallowances by Reason: </w:t>
      </w:r>
    </w:p>
    <w:p w:rsidR="001544DE" w:rsidRPr="00CB11FA" w:rsidRDefault="007A104C" w:rsidP="001544DE">
      <w:pPr>
        <w:pStyle w:val="ListParagraph"/>
        <w:ind w:left="0"/>
        <w:rPr>
          <w:rFonts w:ascii="Times New Roman" w:hAnsi="Times New Roman" w:cs="Times New Roman"/>
          <w:b/>
          <w:sz w:val="24"/>
          <w:szCs w:val="24"/>
        </w:rPr>
      </w:pPr>
      <w:r>
        <w:rPr>
          <w:rFonts w:ascii="Times New Roman" w:hAnsi="Times New Roman" w:cs="Times New Roman"/>
          <w:b/>
          <w:sz w:val="24"/>
          <w:szCs w:val="24"/>
        </w:rPr>
        <w:t>A fuller a</w:t>
      </w:r>
      <w:r w:rsidR="001544DE">
        <w:rPr>
          <w:rFonts w:ascii="Times New Roman" w:hAnsi="Times New Roman" w:cs="Times New Roman"/>
          <w:b/>
          <w:sz w:val="24"/>
          <w:szCs w:val="24"/>
        </w:rPr>
        <w:t>nalysis</w:t>
      </w:r>
      <w:r>
        <w:rPr>
          <w:rFonts w:ascii="Times New Roman" w:hAnsi="Times New Roman" w:cs="Times New Roman"/>
          <w:b/>
          <w:sz w:val="24"/>
          <w:szCs w:val="24"/>
        </w:rPr>
        <w:t xml:space="preserve"> for the p</w:t>
      </w:r>
      <w:r w:rsidR="00CA6115">
        <w:rPr>
          <w:rFonts w:ascii="Times New Roman" w:hAnsi="Times New Roman" w:cs="Times New Roman"/>
          <w:b/>
          <w:sz w:val="24"/>
          <w:szCs w:val="24"/>
        </w:rPr>
        <w:t>eriod April 2000 to October 2012</w:t>
      </w:r>
    </w:p>
    <w:p w:rsidR="001544DE" w:rsidRDefault="001544DE" w:rsidP="00DD1C75">
      <w:pPr>
        <w:pStyle w:val="ListParagraph"/>
        <w:ind w:left="0"/>
        <w:rPr>
          <w:rFonts w:ascii="Times New Roman" w:hAnsi="Times New Roman" w:cs="Times New Roman"/>
          <w:sz w:val="24"/>
          <w:szCs w:val="24"/>
        </w:rPr>
      </w:pPr>
    </w:p>
    <w:p w:rsidR="00AF3D9C" w:rsidRDefault="00B544AF" w:rsidP="00DD1C75">
      <w:pPr>
        <w:pStyle w:val="ListParagraph"/>
        <w:ind w:left="0"/>
        <w:rPr>
          <w:rFonts w:ascii="Times New Roman" w:hAnsi="Times New Roman" w:cs="Times New Roman"/>
          <w:sz w:val="24"/>
          <w:szCs w:val="24"/>
        </w:rPr>
      </w:pPr>
      <w:r>
        <w:rPr>
          <w:rFonts w:ascii="Times New Roman" w:hAnsi="Times New Roman" w:cs="Times New Roman"/>
          <w:sz w:val="24"/>
          <w:szCs w:val="24"/>
        </w:rPr>
        <w:t>4</w:t>
      </w:r>
      <w:r w:rsidR="00C12853">
        <w:rPr>
          <w:rFonts w:ascii="Times New Roman" w:hAnsi="Times New Roman" w:cs="Times New Roman"/>
          <w:sz w:val="24"/>
          <w:szCs w:val="24"/>
        </w:rPr>
        <w:t xml:space="preserve">. </w:t>
      </w:r>
      <w:r w:rsidR="001544DE">
        <w:rPr>
          <w:rFonts w:ascii="Times New Roman" w:hAnsi="Times New Roman" w:cs="Times New Roman"/>
          <w:sz w:val="24"/>
          <w:szCs w:val="24"/>
        </w:rPr>
        <w:t xml:space="preserve">I have now carried out an analysis of the relationship between sanctions/disallowances </w:t>
      </w:r>
      <w:r w:rsidR="000D35F4">
        <w:rPr>
          <w:rFonts w:ascii="Times New Roman" w:hAnsi="Times New Roman" w:cs="Times New Roman"/>
          <w:sz w:val="24"/>
          <w:szCs w:val="24"/>
        </w:rPr>
        <w:t xml:space="preserve">and the local unemployment rate </w:t>
      </w:r>
      <w:r w:rsidR="001544DE">
        <w:rPr>
          <w:rFonts w:ascii="Times New Roman" w:hAnsi="Times New Roman" w:cs="Times New Roman"/>
          <w:sz w:val="24"/>
          <w:szCs w:val="24"/>
        </w:rPr>
        <w:t>across local authorities and regions, for each of the main categories of sanction/disallowance</w:t>
      </w:r>
      <w:r w:rsidR="003F505F">
        <w:rPr>
          <w:rFonts w:ascii="Times New Roman" w:hAnsi="Times New Roman" w:cs="Times New Roman"/>
          <w:sz w:val="24"/>
          <w:szCs w:val="24"/>
        </w:rPr>
        <w:t xml:space="preserve"> individually</w:t>
      </w:r>
      <w:r w:rsidR="001544DE">
        <w:rPr>
          <w:rFonts w:ascii="Times New Roman" w:hAnsi="Times New Roman" w:cs="Times New Roman"/>
          <w:sz w:val="24"/>
          <w:szCs w:val="24"/>
        </w:rPr>
        <w:t>.</w:t>
      </w:r>
      <w:r w:rsidR="00755460">
        <w:rPr>
          <w:rFonts w:ascii="Times New Roman" w:hAnsi="Times New Roman" w:cs="Times New Roman"/>
          <w:sz w:val="24"/>
          <w:szCs w:val="24"/>
        </w:rPr>
        <w:t xml:space="preserve"> </w:t>
      </w:r>
      <w:r w:rsidR="001544DE">
        <w:rPr>
          <w:rFonts w:ascii="Times New Roman" w:hAnsi="Times New Roman" w:cs="Times New Roman"/>
          <w:sz w:val="24"/>
          <w:szCs w:val="24"/>
        </w:rPr>
        <w:t xml:space="preserve">Like the </w:t>
      </w:r>
      <w:r w:rsidR="001544DE" w:rsidRPr="00FA69EE">
        <w:rPr>
          <w:rFonts w:ascii="Times New Roman" w:hAnsi="Times New Roman" w:cs="Times New Roman"/>
          <w:i/>
          <w:sz w:val="24"/>
          <w:szCs w:val="24"/>
        </w:rPr>
        <w:t>Guardian</w:t>
      </w:r>
      <w:r w:rsidR="001544DE">
        <w:rPr>
          <w:rFonts w:ascii="Times New Roman" w:hAnsi="Times New Roman" w:cs="Times New Roman"/>
          <w:sz w:val="24"/>
          <w:szCs w:val="24"/>
        </w:rPr>
        <w:t xml:space="preserve">, I have only been able to do this on the basis of cumulative figures for the whole period from April 2000 to the latest month recorded, currently October 2012. </w:t>
      </w:r>
      <w:r w:rsidR="00A80D3C">
        <w:rPr>
          <w:rFonts w:ascii="Times New Roman" w:hAnsi="Times New Roman" w:cs="Times New Roman"/>
          <w:sz w:val="24"/>
          <w:szCs w:val="24"/>
        </w:rPr>
        <w:t xml:space="preserve">This is due to limitations of the DWP’s </w:t>
      </w:r>
      <w:proofErr w:type="spellStart"/>
      <w:r w:rsidR="00A80D3C">
        <w:rPr>
          <w:rFonts w:ascii="Times New Roman" w:hAnsi="Times New Roman" w:cs="Times New Roman"/>
          <w:sz w:val="24"/>
          <w:szCs w:val="24"/>
        </w:rPr>
        <w:t>Tabtool</w:t>
      </w:r>
      <w:proofErr w:type="spellEnd"/>
      <w:r w:rsidR="00A80D3C">
        <w:rPr>
          <w:rFonts w:ascii="Times New Roman" w:hAnsi="Times New Roman" w:cs="Times New Roman"/>
          <w:sz w:val="24"/>
          <w:szCs w:val="24"/>
        </w:rPr>
        <w:t xml:space="preserve">. </w:t>
      </w:r>
      <w:r w:rsidR="001169FE">
        <w:rPr>
          <w:rFonts w:ascii="Times New Roman" w:hAnsi="Times New Roman" w:cs="Times New Roman"/>
          <w:sz w:val="24"/>
          <w:szCs w:val="24"/>
        </w:rPr>
        <w:t xml:space="preserve">Correlations </w:t>
      </w:r>
      <w:r w:rsidR="00ED749A">
        <w:rPr>
          <w:rFonts w:ascii="Times New Roman" w:hAnsi="Times New Roman" w:cs="Times New Roman"/>
          <w:sz w:val="24"/>
          <w:szCs w:val="24"/>
        </w:rPr>
        <w:t xml:space="preserve">for local authorities and regions </w:t>
      </w:r>
      <w:r w:rsidR="001169FE">
        <w:rPr>
          <w:rFonts w:ascii="Times New Roman" w:hAnsi="Times New Roman" w:cs="Times New Roman"/>
          <w:sz w:val="24"/>
          <w:szCs w:val="24"/>
        </w:rPr>
        <w:t xml:space="preserve">of the </w:t>
      </w:r>
      <w:r w:rsidR="00ED749A">
        <w:rPr>
          <w:rFonts w:ascii="Times New Roman" w:hAnsi="Times New Roman" w:cs="Times New Roman"/>
          <w:sz w:val="24"/>
          <w:szCs w:val="24"/>
        </w:rPr>
        <w:t>monthly rate</w:t>
      </w:r>
      <w:r w:rsidR="003F505F">
        <w:rPr>
          <w:rFonts w:ascii="Times New Roman" w:hAnsi="Times New Roman" w:cs="Times New Roman"/>
          <w:sz w:val="24"/>
          <w:szCs w:val="24"/>
        </w:rPr>
        <w:t>s</w:t>
      </w:r>
      <w:r w:rsidR="00ED749A">
        <w:rPr>
          <w:rFonts w:ascii="Times New Roman" w:hAnsi="Times New Roman" w:cs="Times New Roman"/>
          <w:sz w:val="24"/>
          <w:szCs w:val="24"/>
        </w:rPr>
        <w:t xml:space="preserve"> of sanctions/disallowances as a proportion of JSA claimants </w:t>
      </w:r>
      <w:r w:rsidR="00CA6115">
        <w:rPr>
          <w:rFonts w:ascii="Times New Roman" w:hAnsi="Times New Roman" w:cs="Times New Roman"/>
          <w:sz w:val="24"/>
          <w:szCs w:val="24"/>
        </w:rPr>
        <w:t xml:space="preserve">(ONS count) </w:t>
      </w:r>
      <w:r w:rsidR="001169FE">
        <w:rPr>
          <w:rFonts w:ascii="Times New Roman" w:hAnsi="Times New Roman" w:cs="Times New Roman"/>
          <w:sz w:val="24"/>
          <w:szCs w:val="24"/>
        </w:rPr>
        <w:t xml:space="preserve">with the </w:t>
      </w:r>
      <w:r w:rsidR="00ED749A">
        <w:rPr>
          <w:rFonts w:ascii="Times New Roman" w:hAnsi="Times New Roman" w:cs="Times New Roman"/>
          <w:sz w:val="24"/>
          <w:szCs w:val="24"/>
        </w:rPr>
        <w:t xml:space="preserve">local </w:t>
      </w:r>
      <w:r w:rsidR="001169FE">
        <w:rPr>
          <w:rFonts w:ascii="Times New Roman" w:hAnsi="Times New Roman" w:cs="Times New Roman"/>
          <w:sz w:val="24"/>
          <w:szCs w:val="24"/>
        </w:rPr>
        <w:t>mean working age resident</w:t>
      </w:r>
      <w:r w:rsidR="00CA6115">
        <w:rPr>
          <w:rFonts w:ascii="Times New Roman" w:hAnsi="Times New Roman" w:cs="Times New Roman"/>
          <w:sz w:val="24"/>
          <w:szCs w:val="24"/>
        </w:rPr>
        <w:t>-</w:t>
      </w:r>
      <w:r w:rsidR="001169FE">
        <w:rPr>
          <w:rFonts w:ascii="Times New Roman" w:hAnsi="Times New Roman" w:cs="Times New Roman"/>
          <w:sz w:val="24"/>
          <w:szCs w:val="24"/>
        </w:rPr>
        <w:t xml:space="preserve">based unemployment rate </w:t>
      </w:r>
      <w:r w:rsidR="00F668CE">
        <w:rPr>
          <w:rFonts w:ascii="Times New Roman" w:hAnsi="Times New Roman" w:cs="Times New Roman"/>
          <w:sz w:val="24"/>
          <w:szCs w:val="24"/>
        </w:rPr>
        <w:t xml:space="preserve">are shown in </w:t>
      </w:r>
      <w:r w:rsidR="00F668CE" w:rsidRPr="00AE327C">
        <w:rPr>
          <w:rFonts w:ascii="Times New Roman" w:hAnsi="Times New Roman" w:cs="Times New Roman"/>
          <w:b/>
          <w:sz w:val="24"/>
          <w:szCs w:val="24"/>
        </w:rPr>
        <w:t>Table 1</w:t>
      </w:r>
      <w:r w:rsidR="00F668CE">
        <w:rPr>
          <w:rFonts w:ascii="Times New Roman" w:hAnsi="Times New Roman" w:cs="Times New Roman"/>
          <w:sz w:val="24"/>
          <w:szCs w:val="24"/>
        </w:rPr>
        <w:t>.</w:t>
      </w:r>
    </w:p>
    <w:p w:rsidR="009F3BFC" w:rsidRDefault="009F3BFC" w:rsidP="00DD1C75">
      <w:pPr>
        <w:pStyle w:val="ListParagraph"/>
        <w:ind w:left="0"/>
        <w:rPr>
          <w:rFonts w:ascii="Times New Roman" w:hAnsi="Times New Roman" w:cs="Times New Roman"/>
          <w:sz w:val="24"/>
          <w:szCs w:val="24"/>
        </w:rPr>
      </w:pPr>
    </w:p>
    <w:p w:rsidR="00CA6115" w:rsidRPr="00CA6115" w:rsidRDefault="00CA6115" w:rsidP="00DD1C75">
      <w:pPr>
        <w:pStyle w:val="ListParagraph"/>
        <w:ind w:left="0"/>
        <w:rPr>
          <w:rFonts w:ascii="Times New Roman" w:hAnsi="Times New Roman" w:cs="Times New Roman"/>
          <w:i/>
          <w:sz w:val="24"/>
          <w:szCs w:val="24"/>
        </w:rPr>
      </w:pPr>
      <w:r w:rsidRPr="00CA6115">
        <w:rPr>
          <w:rFonts w:ascii="Times New Roman" w:hAnsi="Times New Roman" w:cs="Times New Roman"/>
          <w:i/>
          <w:sz w:val="24"/>
          <w:szCs w:val="24"/>
        </w:rPr>
        <w:t>The total for all types of sanction/disallowance</w:t>
      </w:r>
    </w:p>
    <w:p w:rsidR="00CA6115" w:rsidRDefault="00CA6115" w:rsidP="00DD1C75">
      <w:pPr>
        <w:pStyle w:val="ListParagraph"/>
        <w:ind w:left="0"/>
        <w:rPr>
          <w:rFonts w:ascii="Times New Roman" w:hAnsi="Times New Roman" w:cs="Times New Roman"/>
          <w:sz w:val="24"/>
          <w:szCs w:val="24"/>
        </w:rPr>
      </w:pPr>
    </w:p>
    <w:p w:rsidR="00CA6115" w:rsidRDefault="00B544AF" w:rsidP="00DD1C75">
      <w:pPr>
        <w:pStyle w:val="ListParagraph"/>
        <w:ind w:left="0"/>
        <w:rPr>
          <w:rFonts w:ascii="Times New Roman" w:hAnsi="Times New Roman" w:cs="Times New Roman"/>
          <w:sz w:val="24"/>
          <w:szCs w:val="24"/>
        </w:rPr>
      </w:pPr>
      <w:r>
        <w:rPr>
          <w:rFonts w:ascii="Times New Roman" w:hAnsi="Times New Roman" w:cs="Times New Roman"/>
          <w:sz w:val="24"/>
          <w:szCs w:val="24"/>
        </w:rPr>
        <w:t>5</w:t>
      </w:r>
      <w:r w:rsidR="009F3BFC">
        <w:rPr>
          <w:rFonts w:ascii="Times New Roman" w:hAnsi="Times New Roman" w:cs="Times New Roman"/>
          <w:sz w:val="24"/>
          <w:szCs w:val="24"/>
        </w:rPr>
        <w:t xml:space="preserve">. </w:t>
      </w:r>
      <w:r w:rsidR="004D2F9B">
        <w:rPr>
          <w:rFonts w:ascii="Times New Roman" w:hAnsi="Times New Roman" w:cs="Times New Roman"/>
          <w:sz w:val="24"/>
          <w:szCs w:val="24"/>
        </w:rPr>
        <w:t>The correlation</w:t>
      </w:r>
      <w:r w:rsidR="004D2F9B" w:rsidRPr="004D2F9B">
        <w:rPr>
          <w:rFonts w:ascii="Times New Roman" w:hAnsi="Times New Roman" w:cs="Times New Roman"/>
          <w:sz w:val="24"/>
          <w:szCs w:val="24"/>
        </w:rPr>
        <w:t xml:space="preserve"> </w:t>
      </w:r>
      <w:r w:rsidR="004D2F9B">
        <w:rPr>
          <w:rFonts w:ascii="Times New Roman" w:hAnsi="Times New Roman" w:cs="Times New Roman"/>
          <w:sz w:val="24"/>
          <w:szCs w:val="24"/>
        </w:rPr>
        <w:t xml:space="preserve">across </w:t>
      </w:r>
      <w:r w:rsidR="004D2F9B" w:rsidRPr="00CA6115">
        <w:rPr>
          <w:rFonts w:ascii="Times New Roman" w:hAnsi="Times New Roman" w:cs="Times New Roman"/>
          <w:b/>
          <w:sz w:val="24"/>
          <w:szCs w:val="24"/>
        </w:rPr>
        <w:t>regions</w:t>
      </w:r>
      <w:r w:rsidR="004D2F9B">
        <w:rPr>
          <w:rFonts w:ascii="Times New Roman" w:hAnsi="Times New Roman" w:cs="Times New Roman"/>
          <w:sz w:val="24"/>
          <w:szCs w:val="24"/>
        </w:rPr>
        <w:t xml:space="preserve"> between</w:t>
      </w:r>
      <w:r w:rsidR="000E2742">
        <w:rPr>
          <w:rFonts w:ascii="Times New Roman" w:hAnsi="Times New Roman" w:cs="Times New Roman"/>
          <w:sz w:val="24"/>
          <w:szCs w:val="24"/>
        </w:rPr>
        <w:t xml:space="preserve"> the total of</w:t>
      </w:r>
      <w:r w:rsidR="004D2F9B">
        <w:rPr>
          <w:rFonts w:ascii="Times New Roman" w:hAnsi="Times New Roman" w:cs="Times New Roman"/>
          <w:sz w:val="24"/>
          <w:szCs w:val="24"/>
        </w:rPr>
        <w:t xml:space="preserve"> </w:t>
      </w:r>
      <w:r w:rsidR="004D2F9B" w:rsidRPr="000E2742">
        <w:rPr>
          <w:rFonts w:ascii="Times New Roman" w:hAnsi="Times New Roman" w:cs="Times New Roman"/>
          <w:i/>
          <w:sz w:val="24"/>
          <w:szCs w:val="24"/>
        </w:rPr>
        <w:t>all</w:t>
      </w:r>
      <w:r w:rsidR="004D2F9B">
        <w:rPr>
          <w:rFonts w:ascii="Times New Roman" w:hAnsi="Times New Roman" w:cs="Times New Roman"/>
          <w:sz w:val="24"/>
          <w:szCs w:val="24"/>
        </w:rPr>
        <w:t xml:space="preserve"> </w:t>
      </w:r>
      <w:r w:rsidR="000E2742">
        <w:rPr>
          <w:rFonts w:ascii="Times New Roman" w:hAnsi="Times New Roman" w:cs="Times New Roman"/>
          <w:sz w:val="24"/>
          <w:szCs w:val="24"/>
        </w:rPr>
        <w:t xml:space="preserve">types of </w:t>
      </w:r>
      <w:r w:rsidR="004D2F9B">
        <w:rPr>
          <w:rFonts w:ascii="Times New Roman" w:hAnsi="Times New Roman" w:cs="Times New Roman"/>
          <w:sz w:val="24"/>
          <w:szCs w:val="24"/>
        </w:rPr>
        <w:t xml:space="preserve">sanction and disallowance and the local unemployment rate is </w:t>
      </w:r>
      <w:r w:rsidR="007A104C">
        <w:rPr>
          <w:rFonts w:ascii="Times New Roman" w:hAnsi="Times New Roman" w:cs="Times New Roman"/>
          <w:sz w:val="24"/>
          <w:szCs w:val="24"/>
        </w:rPr>
        <w:t>rather low</w:t>
      </w:r>
      <w:r w:rsidR="004D2F9B">
        <w:rPr>
          <w:rFonts w:ascii="Times New Roman" w:hAnsi="Times New Roman" w:cs="Times New Roman"/>
          <w:sz w:val="24"/>
          <w:szCs w:val="24"/>
        </w:rPr>
        <w:t xml:space="preserve">, at 0.21, </w:t>
      </w:r>
      <w:r w:rsidR="00CA6115">
        <w:rPr>
          <w:rFonts w:ascii="Times New Roman" w:hAnsi="Times New Roman" w:cs="Times New Roman"/>
          <w:sz w:val="24"/>
          <w:szCs w:val="24"/>
        </w:rPr>
        <w:t>and is not statistically significant</w:t>
      </w:r>
      <w:r w:rsidR="000C366B">
        <w:rPr>
          <w:rFonts w:ascii="Times New Roman" w:hAnsi="Times New Roman" w:cs="Times New Roman"/>
          <w:sz w:val="24"/>
          <w:szCs w:val="24"/>
        </w:rPr>
        <w:t xml:space="preserve">. </w:t>
      </w:r>
      <w:r w:rsidR="00C50167">
        <w:rPr>
          <w:rFonts w:ascii="Times New Roman" w:hAnsi="Times New Roman" w:cs="Times New Roman"/>
          <w:sz w:val="24"/>
          <w:szCs w:val="24"/>
        </w:rPr>
        <w:t xml:space="preserve">Across </w:t>
      </w:r>
      <w:r w:rsidR="00C50167" w:rsidRPr="00CA6115">
        <w:rPr>
          <w:rFonts w:ascii="Times New Roman" w:hAnsi="Times New Roman" w:cs="Times New Roman"/>
          <w:b/>
          <w:sz w:val="24"/>
          <w:szCs w:val="24"/>
        </w:rPr>
        <w:t>local authorities</w:t>
      </w:r>
      <w:r w:rsidR="00C50167">
        <w:rPr>
          <w:rFonts w:ascii="Times New Roman" w:hAnsi="Times New Roman" w:cs="Times New Roman"/>
          <w:sz w:val="24"/>
          <w:szCs w:val="24"/>
        </w:rPr>
        <w:t xml:space="preserve"> it is </w:t>
      </w:r>
      <w:r w:rsidR="00CA6115">
        <w:rPr>
          <w:rFonts w:ascii="Times New Roman" w:hAnsi="Times New Roman" w:cs="Times New Roman"/>
          <w:sz w:val="24"/>
          <w:szCs w:val="24"/>
        </w:rPr>
        <w:t xml:space="preserve">effectively </w:t>
      </w:r>
      <w:r w:rsidR="00C50167">
        <w:rPr>
          <w:rFonts w:ascii="Times New Roman" w:hAnsi="Times New Roman" w:cs="Times New Roman"/>
          <w:sz w:val="24"/>
          <w:szCs w:val="24"/>
        </w:rPr>
        <w:t>non-existent. For referrals, both correlations are actually negative</w:t>
      </w:r>
      <w:r w:rsidR="00CA6115">
        <w:rPr>
          <w:rFonts w:ascii="Times New Roman" w:hAnsi="Times New Roman" w:cs="Times New Roman"/>
          <w:sz w:val="24"/>
          <w:szCs w:val="24"/>
        </w:rPr>
        <w:t>, with that for local authorities being statistically significant</w:t>
      </w:r>
      <w:r w:rsidR="00C50167">
        <w:rPr>
          <w:rFonts w:ascii="Times New Roman" w:hAnsi="Times New Roman" w:cs="Times New Roman"/>
          <w:sz w:val="24"/>
          <w:szCs w:val="24"/>
        </w:rPr>
        <w:t xml:space="preserve">. </w:t>
      </w:r>
    </w:p>
    <w:p w:rsidR="00CA6115" w:rsidRDefault="00CA6115" w:rsidP="00DD1C75">
      <w:pPr>
        <w:pStyle w:val="ListParagraph"/>
        <w:ind w:left="0"/>
        <w:rPr>
          <w:rFonts w:ascii="Times New Roman" w:hAnsi="Times New Roman" w:cs="Times New Roman"/>
          <w:sz w:val="24"/>
          <w:szCs w:val="24"/>
        </w:rPr>
      </w:pPr>
    </w:p>
    <w:p w:rsidR="004D2F9B" w:rsidRDefault="00B544AF" w:rsidP="00DD1C75">
      <w:pPr>
        <w:pStyle w:val="ListParagraph"/>
        <w:ind w:left="0"/>
        <w:rPr>
          <w:rFonts w:ascii="Times New Roman" w:hAnsi="Times New Roman" w:cs="Times New Roman"/>
          <w:sz w:val="24"/>
          <w:szCs w:val="24"/>
        </w:rPr>
      </w:pPr>
      <w:r>
        <w:rPr>
          <w:rFonts w:ascii="Times New Roman" w:hAnsi="Times New Roman" w:cs="Times New Roman"/>
          <w:sz w:val="24"/>
          <w:szCs w:val="24"/>
        </w:rPr>
        <w:t>6</w:t>
      </w:r>
      <w:r w:rsidR="00CA6115">
        <w:rPr>
          <w:rFonts w:ascii="Times New Roman" w:hAnsi="Times New Roman" w:cs="Times New Roman"/>
          <w:sz w:val="24"/>
          <w:szCs w:val="24"/>
        </w:rPr>
        <w:t xml:space="preserve">. </w:t>
      </w:r>
      <w:r w:rsidR="000C366B">
        <w:rPr>
          <w:rFonts w:ascii="Times New Roman" w:hAnsi="Times New Roman" w:cs="Times New Roman"/>
          <w:sz w:val="24"/>
          <w:szCs w:val="24"/>
        </w:rPr>
        <w:t xml:space="preserve">However, </w:t>
      </w:r>
      <w:r w:rsidR="00C50167">
        <w:rPr>
          <w:rFonts w:ascii="Times New Roman" w:hAnsi="Times New Roman" w:cs="Times New Roman"/>
          <w:sz w:val="24"/>
          <w:szCs w:val="24"/>
        </w:rPr>
        <w:t>closer examination shows that different types of sanction/disallowance relate differently to the local level of unemployment.</w:t>
      </w:r>
    </w:p>
    <w:p w:rsidR="004D2F9B" w:rsidRDefault="004D2F9B" w:rsidP="00DD1C75">
      <w:pPr>
        <w:pStyle w:val="ListParagraph"/>
        <w:ind w:left="0"/>
        <w:rPr>
          <w:rFonts w:ascii="Times New Roman" w:hAnsi="Times New Roman" w:cs="Times New Roman"/>
          <w:sz w:val="24"/>
          <w:szCs w:val="24"/>
        </w:rPr>
      </w:pPr>
    </w:p>
    <w:p w:rsidR="00C45E9E" w:rsidRPr="00C45E9E" w:rsidRDefault="00C45E9E" w:rsidP="00DD1C75">
      <w:pPr>
        <w:pStyle w:val="ListParagraph"/>
        <w:ind w:left="0"/>
        <w:rPr>
          <w:rFonts w:ascii="Times New Roman" w:hAnsi="Times New Roman" w:cs="Times New Roman"/>
          <w:i/>
          <w:sz w:val="24"/>
          <w:szCs w:val="24"/>
        </w:rPr>
      </w:pPr>
      <w:r w:rsidRPr="00C45E9E">
        <w:rPr>
          <w:rFonts w:ascii="Times New Roman" w:hAnsi="Times New Roman" w:cs="Times New Roman"/>
          <w:i/>
          <w:sz w:val="24"/>
          <w:szCs w:val="24"/>
        </w:rPr>
        <w:t>Varied length sanctions</w:t>
      </w:r>
    </w:p>
    <w:p w:rsidR="00C45E9E" w:rsidRDefault="00C45E9E" w:rsidP="00DD1C75">
      <w:pPr>
        <w:pStyle w:val="ListParagraph"/>
        <w:ind w:left="0"/>
        <w:rPr>
          <w:rFonts w:ascii="Times New Roman" w:hAnsi="Times New Roman" w:cs="Times New Roman"/>
          <w:sz w:val="24"/>
          <w:szCs w:val="24"/>
        </w:rPr>
      </w:pPr>
    </w:p>
    <w:p w:rsidR="009F3BFC" w:rsidRDefault="00B544AF" w:rsidP="00DD1C75">
      <w:pPr>
        <w:pStyle w:val="ListParagraph"/>
        <w:ind w:left="0"/>
        <w:rPr>
          <w:rFonts w:ascii="Times New Roman" w:hAnsi="Times New Roman" w:cs="Times New Roman"/>
          <w:sz w:val="24"/>
          <w:szCs w:val="24"/>
        </w:rPr>
      </w:pPr>
      <w:r>
        <w:rPr>
          <w:rFonts w:ascii="Times New Roman" w:hAnsi="Times New Roman" w:cs="Times New Roman"/>
          <w:sz w:val="24"/>
          <w:szCs w:val="24"/>
        </w:rPr>
        <w:t>7</w:t>
      </w:r>
      <w:r w:rsidR="000C366B">
        <w:rPr>
          <w:rFonts w:ascii="Times New Roman" w:hAnsi="Times New Roman" w:cs="Times New Roman"/>
          <w:sz w:val="24"/>
          <w:szCs w:val="24"/>
        </w:rPr>
        <w:t xml:space="preserve">. </w:t>
      </w:r>
      <w:r w:rsidR="00442FEF">
        <w:rPr>
          <w:rFonts w:ascii="Times New Roman" w:hAnsi="Times New Roman" w:cs="Times New Roman"/>
          <w:sz w:val="24"/>
          <w:szCs w:val="24"/>
        </w:rPr>
        <w:t xml:space="preserve">The most striking feature of </w:t>
      </w:r>
      <w:r w:rsidR="000E2742" w:rsidRPr="000E2742">
        <w:rPr>
          <w:rFonts w:ascii="Times New Roman" w:hAnsi="Times New Roman" w:cs="Times New Roman"/>
          <w:b/>
          <w:sz w:val="24"/>
          <w:szCs w:val="24"/>
        </w:rPr>
        <w:t>T</w:t>
      </w:r>
      <w:r w:rsidR="00442FEF" w:rsidRPr="000E2742">
        <w:rPr>
          <w:rFonts w:ascii="Times New Roman" w:hAnsi="Times New Roman" w:cs="Times New Roman"/>
          <w:b/>
          <w:sz w:val="24"/>
          <w:szCs w:val="24"/>
        </w:rPr>
        <w:t xml:space="preserve">able </w:t>
      </w:r>
      <w:r w:rsidR="000E2742" w:rsidRPr="000E2742">
        <w:rPr>
          <w:rFonts w:ascii="Times New Roman" w:hAnsi="Times New Roman" w:cs="Times New Roman"/>
          <w:b/>
          <w:sz w:val="24"/>
          <w:szCs w:val="24"/>
        </w:rPr>
        <w:t>1</w:t>
      </w:r>
      <w:r w:rsidR="000E2742">
        <w:rPr>
          <w:rFonts w:ascii="Times New Roman" w:hAnsi="Times New Roman" w:cs="Times New Roman"/>
          <w:sz w:val="24"/>
          <w:szCs w:val="24"/>
        </w:rPr>
        <w:t xml:space="preserve"> </w:t>
      </w:r>
      <w:r w:rsidR="00442FEF">
        <w:rPr>
          <w:rFonts w:ascii="Times New Roman" w:hAnsi="Times New Roman" w:cs="Times New Roman"/>
          <w:sz w:val="24"/>
          <w:szCs w:val="24"/>
        </w:rPr>
        <w:t xml:space="preserve">is that </w:t>
      </w:r>
      <w:r w:rsidR="00AE327C">
        <w:rPr>
          <w:rFonts w:ascii="Times New Roman" w:hAnsi="Times New Roman" w:cs="Times New Roman"/>
          <w:sz w:val="24"/>
          <w:szCs w:val="24"/>
        </w:rPr>
        <w:t xml:space="preserve">for </w:t>
      </w:r>
      <w:r w:rsidR="00442FEF">
        <w:rPr>
          <w:rFonts w:ascii="Times New Roman" w:hAnsi="Times New Roman" w:cs="Times New Roman"/>
          <w:sz w:val="24"/>
          <w:szCs w:val="24"/>
        </w:rPr>
        <w:t>varied length sanctions</w:t>
      </w:r>
      <w:r w:rsidR="00AE327C">
        <w:rPr>
          <w:rFonts w:ascii="Times New Roman" w:hAnsi="Times New Roman" w:cs="Times New Roman"/>
          <w:sz w:val="24"/>
          <w:szCs w:val="24"/>
        </w:rPr>
        <w:t xml:space="preserve">, </w:t>
      </w:r>
      <w:r w:rsidR="00E6362F">
        <w:rPr>
          <w:rFonts w:ascii="Times New Roman" w:hAnsi="Times New Roman" w:cs="Times New Roman"/>
          <w:sz w:val="24"/>
          <w:szCs w:val="24"/>
        </w:rPr>
        <w:t xml:space="preserve">referrals </w:t>
      </w:r>
      <w:r w:rsidR="00AE327C">
        <w:rPr>
          <w:rFonts w:ascii="Times New Roman" w:hAnsi="Times New Roman" w:cs="Times New Roman"/>
          <w:sz w:val="24"/>
          <w:szCs w:val="24"/>
        </w:rPr>
        <w:t>and actual sanctions</w:t>
      </w:r>
      <w:r w:rsidR="00442FEF">
        <w:rPr>
          <w:rFonts w:ascii="Times New Roman" w:hAnsi="Times New Roman" w:cs="Times New Roman"/>
          <w:sz w:val="24"/>
          <w:szCs w:val="24"/>
        </w:rPr>
        <w:t xml:space="preserve"> are </w:t>
      </w:r>
      <w:r w:rsidR="004570F3">
        <w:rPr>
          <w:rFonts w:ascii="Times New Roman" w:hAnsi="Times New Roman" w:cs="Times New Roman"/>
          <w:sz w:val="24"/>
          <w:szCs w:val="24"/>
        </w:rPr>
        <w:t xml:space="preserve">quite strongly </w:t>
      </w:r>
      <w:r w:rsidR="00442FEF">
        <w:rPr>
          <w:rFonts w:ascii="Times New Roman" w:hAnsi="Times New Roman" w:cs="Times New Roman"/>
          <w:sz w:val="24"/>
          <w:szCs w:val="24"/>
        </w:rPr>
        <w:t xml:space="preserve">correlated </w:t>
      </w:r>
      <w:r w:rsidR="00442FEF" w:rsidRPr="001354B3">
        <w:rPr>
          <w:rFonts w:ascii="Times New Roman" w:hAnsi="Times New Roman" w:cs="Times New Roman"/>
          <w:i/>
          <w:sz w:val="24"/>
          <w:szCs w:val="24"/>
        </w:rPr>
        <w:t>negatively</w:t>
      </w:r>
      <w:r w:rsidR="00442FEF">
        <w:rPr>
          <w:rFonts w:ascii="Times New Roman" w:hAnsi="Times New Roman" w:cs="Times New Roman"/>
          <w:sz w:val="24"/>
          <w:szCs w:val="24"/>
        </w:rPr>
        <w:t xml:space="preserve"> with the local unemployment rate</w:t>
      </w:r>
      <w:r w:rsidR="00E84D01">
        <w:rPr>
          <w:rFonts w:ascii="Times New Roman" w:hAnsi="Times New Roman" w:cs="Times New Roman"/>
          <w:sz w:val="24"/>
          <w:szCs w:val="24"/>
        </w:rPr>
        <w:t xml:space="preserve"> (-</w:t>
      </w:r>
      <w:r w:rsidR="0024325E">
        <w:rPr>
          <w:rFonts w:ascii="Times New Roman" w:hAnsi="Times New Roman" w:cs="Times New Roman"/>
          <w:sz w:val="24"/>
          <w:szCs w:val="24"/>
        </w:rPr>
        <w:t>0</w:t>
      </w:r>
      <w:r w:rsidR="00E84D01">
        <w:rPr>
          <w:rFonts w:ascii="Times New Roman" w:hAnsi="Times New Roman" w:cs="Times New Roman"/>
          <w:sz w:val="24"/>
          <w:szCs w:val="24"/>
        </w:rPr>
        <w:t>.</w:t>
      </w:r>
      <w:r w:rsidR="00FA69EE">
        <w:rPr>
          <w:rFonts w:ascii="Times New Roman" w:hAnsi="Times New Roman" w:cs="Times New Roman"/>
          <w:sz w:val="24"/>
          <w:szCs w:val="24"/>
        </w:rPr>
        <w:t>50 to -0.</w:t>
      </w:r>
      <w:r w:rsidR="00E84D01">
        <w:rPr>
          <w:rFonts w:ascii="Times New Roman" w:hAnsi="Times New Roman" w:cs="Times New Roman"/>
          <w:sz w:val="24"/>
          <w:szCs w:val="24"/>
        </w:rPr>
        <w:t>7</w:t>
      </w:r>
      <w:r w:rsidR="00FA69EE">
        <w:rPr>
          <w:rFonts w:ascii="Times New Roman" w:hAnsi="Times New Roman" w:cs="Times New Roman"/>
          <w:sz w:val="24"/>
          <w:szCs w:val="24"/>
        </w:rPr>
        <w:t>6</w:t>
      </w:r>
      <w:r w:rsidR="00E84D01">
        <w:rPr>
          <w:rFonts w:ascii="Times New Roman" w:hAnsi="Times New Roman" w:cs="Times New Roman"/>
          <w:sz w:val="24"/>
          <w:szCs w:val="24"/>
        </w:rPr>
        <w:t>)</w:t>
      </w:r>
      <w:r w:rsidR="00442FEF">
        <w:rPr>
          <w:rFonts w:ascii="Times New Roman" w:hAnsi="Times New Roman" w:cs="Times New Roman"/>
          <w:sz w:val="24"/>
          <w:szCs w:val="24"/>
        </w:rPr>
        <w:t xml:space="preserve">, </w:t>
      </w:r>
      <w:r w:rsidR="00AE327C">
        <w:rPr>
          <w:rFonts w:ascii="Times New Roman" w:hAnsi="Times New Roman" w:cs="Times New Roman"/>
          <w:sz w:val="24"/>
          <w:szCs w:val="24"/>
        </w:rPr>
        <w:t>at both local authority and regional level. I</w:t>
      </w:r>
      <w:r w:rsidR="00442FEF">
        <w:rPr>
          <w:rFonts w:ascii="Times New Roman" w:hAnsi="Times New Roman" w:cs="Times New Roman"/>
          <w:sz w:val="24"/>
          <w:szCs w:val="24"/>
        </w:rPr>
        <w:t xml:space="preserve">n other words the higher is local </w:t>
      </w:r>
      <w:proofErr w:type="gramStart"/>
      <w:r w:rsidR="00442FEF">
        <w:rPr>
          <w:rFonts w:ascii="Times New Roman" w:hAnsi="Times New Roman" w:cs="Times New Roman"/>
          <w:sz w:val="24"/>
          <w:szCs w:val="24"/>
        </w:rPr>
        <w:t>unemployment,</w:t>
      </w:r>
      <w:proofErr w:type="gramEnd"/>
      <w:r w:rsidR="00442FEF">
        <w:rPr>
          <w:rFonts w:ascii="Times New Roman" w:hAnsi="Times New Roman" w:cs="Times New Roman"/>
          <w:sz w:val="24"/>
          <w:szCs w:val="24"/>
        </w:rPr>
        <w:t xml:space="preserve"> the lower is the proportion of claimants subjected to varied length sanctions.  The main sanctions of this type are for giving up a job voluntarily without what officials consider a good reason, </w:t>
      </w:r>
      <w:r w:rsidR="00223F2D">
        <w:rPr>
          <w:rFonts w:ascii="Times New Roman" w:hAnsi="Times New Roman" w:cs="Times New Roman"/>
          <w:sz w:val="24"/>
          <w:szCs w:val="24"/>
        </w:rPr>
        <w:t xml:space="preserve">or losing it through misconduct; and </w:t>
      </w:r>
      <w:r w:rsidR="00442FEF">
        <w:rPr>
          <w:rFonts w:ascii="Times New Roman" w:hAnsi="Times New Roman" w:cs="Times New Roman"/>
          <w:sz w:val="24"/>
          <w:szCs w:val="24"/>
        </w:rPr>
        <w:t xml:space="preserve">for </w:t>
      </w:r>
      <w:r w:rsidR="00223F2D">
        <w:rPr>
          <w:rFonts w:ascii="Times New Roman" w:hAnsi="Times New Roman" w:cs="Times New Roman"/>
          <w:sz w:val="24"/>
          <w:szCs w:val="24"/>
        </w:rPr>
        <w:t xml:space="preserve">‘neglect to avail of an opportunity’, i.e. </w:t>
      </w:r>
      <w:r w:rsidR="00442FEF">
        <w:rPr>
          <w:rFonts w:ascii="Times New Roman" w:hAnsi="Times New Roman" w:cs="Times New Roman"/>
          <w:sz w:val="24"/>
          <w:szCs w:val="24"/>
        </w:rPr>
        <w:t xml:space="preserve">doing something to undermine an opportunity of employment (such as turning up for interview inappropriately dressed), </w:t>
      </w:r>
      <w:r w:rsidR="00223F2D">
        <w:rPr>
          <w:rFonts w:ascii="Times New Roman" w:hAnsi="Times New Roman" w:cs="Times New Roman"/>
          <w:sz w:val="24"/>
          <w:szCs w:val="24"/>
        </w:rPr>
        <w:t>or</w:t>
      </w:r>
      <w:r w:rsidR="00005EF5">
        <w:rPr>
          <w:rFonts w:ascii="Times New Roman" w:hAnsi="Times New Roman" w:cs="Times New Roman"/>
          <w:sz w:val="24"/>
          <w:szCs w:val="24"/>
        </w:rPr>
        <w:t xml:space="preserve"> </w:t>
      </w:r>
      <w:r w:rsidR="00442FEF">
        <w:rPr>
          <w:rFonts w:ascii="Times New Roman" w:hAnsi="Times New Roman" w:cs="Times New Roman"/>
          <w:sz w:val="24"/>
          <w:szCs w:val="24"/>
        </w:rPr>
        <w:t xml:space="preserve">refusing an offer of a job. </w:t>
      </w:r>
      <w:r w:rsidR="00AE327C">
        <w:rPr>
          <w:rFonts w:ascii="Times New Roman" w:hAnsi="Times New Roman" w:cs="Times New Roman"/>
          <w:sz w:val="24"/>
          <w:szCs w:val="24"/>
        </w:rPr>
        <w:t xml:space="preserve">These types of sanction are also </w:t>
      </w:r>
      <w:r w:rsidR="00005EF5">
        <w:rPr>
          <w:rFonts w:ascii="Times New Roman" w:hAnsi="Times New Roman" w:cs="Times New Roman"/>
          <w:sz w:val="24"/>
          <w:szCs w:val="24"/>
        </w:rPr>
        <w:t xml:space="preserve">each </w:t>
      </w:r>
      <w:r w:rsidR="00AE327C">
        <w:rPr>
          <w:rFonts w:ascii="Times New Roman" w:hAnsi="Times New Roman" w:cs="Times New Roman"/>
          <w:sz w:val="24"/>
          <w:szCs w:val="24"/>
        </w:rPr>
        <w:t>individually correlated negatively with the local unemployment rate, at both the local authority and the regional level</w:t>
      </w:r>
      <w:r w:rsidR="00FA69EE">
        <w:rPr>
          <w:rFonts w:ascii="Times New Roman" w:hAnsi="Times New Roman" w:cs="Times New Roman"/>
          <w:sz w:val="24"/>
          <w:szCs w:val="24"/>
        </w:rPr>
        <w:t xml:space="preserve"> (-0.28 to -0.87), and almost all the correlations are statistically significant</w:t>
      </w:r>
      <w:r w:rsidR="00AE327C">
        <w:rPr>
          <w:rFonts w:ascii="Times New Roman" w:hAnsi="Times New Roman" w:cs="Times New Roman"/>
          <w:sz w:val="24"/>
          <w:szCs w:val="24"/>
        </w:rPr>
        <w:t xml:space="preserve">. </w:t>
      </w:r>
      <w:r w:rsidR="00442FEF">
        <w:rPr>
          <w:rFonts w:ascii="Times New Roman" w:hAnsi="Times New Roman" w:cs="Times New Roman"/>
          <w:sz w:val="24"/>
          <w:szCs w:val="24"/>
        </w:rPr>
        <w:t xml:space="preserve">It was noted in the main evidence (22 May, para.10) that time series </w:t>
      </w:r>
      <w:r w:rsidR="001354B3">
        <w:rPr>
          <w:rFonts w:ascii="Times New Roman" w:hAnsi="Times New Roman" w:cs="Times New Roman"/>
          <w:sz w:val="24"/>
          <w:szCs w:val="24"/>
        </w:rPr>
        <w:t xml:space="preserve">data </w:t>
      </w:r>
      <w:r w:rsidR="00442FEF">
        <w:rPr>
          <w:rFonts w:ascii="Times New Roman" w:hAnsi="Times New Roman" w:cs="Times New Roman"/>
          <w:sz w:val="24"/>
          <w:szCs w:val="24"/>
        </w:rPr>
        <w:t xml:space="preserve">show that </w:t>
      </w:r>
      <w:r w:rsidR="004570F3">
        <w:rPr>
          <w:rFonts w:ascii="Times New Roman" w:hAnsi="Times New Roman" w:cs="Times New Roman"/>
          <w:sz w:val="24"/>
          <w:szCs w:val="24"/>
        </w:rPr>
        <w:t xml:space="preserve">disqualifications for </w:t>
      </w:r>
      <w:r w:rsidR="00B6747E">
        <w:rPr>
          <w:rFonts w:ascii="Times New Roman" w:hAnsi="Times New Roman" w:cs="Times New Roman"/>
          <w:sz w:val="24"/>
          <w:szCs w:val="24"/>
        </w:rPr>
        <w:t xml:space="preserve">‘voluntary leaving’ and ‘misconduct’ fall during periods </w:t>
      </w:r>
      <w:r w:rsidR="00442FEF">
        <w:rPr>
          <w:rFonts w:ascii="Times New Roman" w:hAnsi="Times New Roman" w:cs="Times New Roman"/>
          <w:sz w:val="24"/>
          <w:szCs w:val="24"/>
        </w:rPr>
        <w:t>when it is more difficult to get another</w:t>
      </w:r>
      <w:r w:rsidR="00B6747E">
        <w:rPr>
          <w:rFonts w:ascii="Times New Roman" w:hAnsi="Times New Roman" w:cs="Times New Roman"/>
          <w:sz w:val="24"/>
          <w:szCs w:val="24"/>
        </w:rPr>
        <w:t xml:space="preserve"> job</w:t>
      </w:r>
      <w:r w:rsidR="00442FEF">
        <w:rPr>
          <w:rFonts w:ascii="Times New Roman" w:hAnsi="Times New Roman" w:cs="Times New Roman"/>
          <w:sz w:val="24"/>
          <w:szCs w:val="24"/>
        </w:rPr>
        <w:t xml:space="preserve">. The negative correlation coefficients </w:t>
      </w:r>
      <w:r w:rsidR="009D29A3">
        <w:rPr>
          <w:rFonts w:ascii="Times New Roman" w:hAnsi="Times New Roman" w:cs="Times New Roman"/>
          <w:sz w:val="24"/>
          <w:szCs w:val="24"/>
        </w:rPr>
        <w:t xml:space="preserve">here </w:t>
      </w:r>
      <w:r w:rsidR="00442FEF">
        <w:rPr>
          <w:rFonts w:ascii="Times New Roman" w:hAnsi="Times New Roman" w:cs="Times New Roman"/>
          <w:sz w:val="24"/>
          <w:szCs w:val="24"/>
        </w:rPr>
        <w:t>indicate that this applies across areas as well as over time</w:t>
      </w:r>
      <w:r w:rsidR="004570F3">
        <w:rPr>
          <w:rFonts w:ascii="Times New Roman" w:hAnsi="Times New Roman" w:cs="Times New Roman"/>
          <w:sz w:val="24"/>
          <w:szCs w:val="24"/>
        </w:rPr>
        <w:t>, in other words people are more careful to hold on to a job in areas where it is difficult to get another</w:t>
      </w:r>
      <w:r w:rsidR="001354B3">
        <w:rPr>
          <w:rFonts w:ascii="Times New Roman" w:hAnsi="Times New Roman" w:cs="Times New Roman"/>
          <w:sz w:val="24"/>
          <w:szCs w:val="24"/>
        </w:rPr>
        <w:t xml:space="preserve">. </w:t>
      </w:r>
      <w:r w:rsidR="00B6747E">
        <w:rPr>
          <w:rFonts w:ascii="Times New Roman" w:hAnsi="Times New Roman" w:cs="Times New Roman"/>
          <w:sz w:val="24"/>
          <w:szCs w:val="24"/>
        </w:rPr>
        <w:t xml:space="preserve">In the case of ‘neglect to avail’ and refusal of a job, there </w:t>
      </w:r>
      <w:r w:rsidR="00AD2CBC">
        <w:rPr>
          <w:rFonts w:ascii="Times New Roman" w:hAnsi="Times New Roman" w:cs="Times New Roman"/>
          <w:sz w:val="24"/>
          <w:szCs w:val="24"/>
        </w:rPr>
        <w:t>are likely to be</w:t>
      </w:r>
      <w:r w:rsidR="00B6747E">
        <w:rPr>
          <w:rFonts w:ascii="Times New Roman" w:hAnsi="Times New Roman" w:cs="Times New Roman"/>
          <w:sz w:val="24"/>
          <w:szCs w:val="24"/>
        </w:rPr>
        <w:t xml:space="preserve"> two factors operating: in high unemployment areas, officials will have fewer vacancies to offer claimants, and claimants will </w:t>
      </w:r>
      <w:r w:rsidR="004570F3">
        <w:rPr>
          <w:rFonts w:ascii="Times New Roman" w:hAnsi="Times New Roman" w:cs="Times New Roman"/>
          <w:sz w:val="24"/>
          <w:szCs w:val="24"/>
        </w:rPr>
        <w:t xml:space="preserve">also </w:t>
      </w:r>
      <w:r w:rsidR="00B6747E">
        <w:rPr>
          <w:rFonts w:ascii="Times New Roman" w:hAnsi="Times New Roman" w:cs="Times New Roman"/>
          <w:sz w:val="24"/>
          <w:szCs w:val="24"/>
        </w:rPr>
        <w:t xml:space="preserve">be less likely to turn down or spoil an opportunity. </w:t>
      </w:r>
    </w:p>
    <w:p w:rsidR="00E84D01" w:rsidRDefault="00E84D01" w:rsidP="00DD1C75">
      <w:pPr>
        <w:pStyle w:val="ListParagraph"/>
        <w:ind w:left="0"/>
        <w:rPr>
          <w:rFonts w:ascii="Times New Roman" w:hAnsi="Times New Roman" w:cs="Times New Roman"/>
          <w:sz w:val="24"/>
          <w:szCs w:val="24"/>
        </w:rPr>
      </w:pPr>
    </w:p>
    <w:p w:rsidR="001354B3" w:rsidRPr="00C45E9E" w:rsidRDefault="001354B3" w:rsidP="001354B3">
      <w:pPr>
        <w:pStyle w:val="ListParagraph"/>
        <w:ind w:left="0"/>
        <w:rPr>
          <w:rFonts w:ascii="Times New Roman" w:hAnsi="Times New Roman" w:cs="Times New Roman"/>
          <w:i/>
          <w:sz w:val="24"/>
          <w:szCs w:val="24"/>
        </w:rPr>
      </w:pPr>
      <w:r w:rsidRPr="00C45E9E">
        <w:rPr>
          <w:rFonts w:ascii="Times New Roman" w:hAnsi="Times New Roman" w:cs="Times New Roman"/>
          <w:i/>
          <w:sz w:val="24"/>
          <w:szCs w:val="24"/>
        </w:rPr>
        <w:t>Sanctions for non-attendance at advisory interviews</w:t>
      </w:r>
    </w:p>
    <w:p w:rsidR="001354B3" w:rsidRDefault="001354B3" w:rsidP="001354B3">
      <w:pPr>
        <w:pStyle w:val="ListParagraph"/>
        <w:ind w:left="0"/>
        <w:rPr>
          <w:rFonts w:ascii="Times New Roman" w:hAnsi="Times New Roman" w:cs="Times New Roman"/>
          <w:sz w:val="24"/>
          <w:szCs w:val="24"/>
        </w:rPr>
      </w:pPr>
    </w:p>
    <w:p w:rsidR="001354B3" w:rsidRDefault="00B544AF" w:rsidP="001354B3">
      <w:pPr>
        <w:pStyle w:val="ListParagraph"/>
        <w:ind w:left="0"/>
        <w:rPr>
          <w:rFonts w:ascii="Times New Roman" w:hAnsi="Times New Roman" w:cs="Times New Roman"/>
          <w:sz w:val="24"/>
          <w:szCs w:val="24"/>
        </w:rPr>
      </w:pPr>
      <w:r>
        <w:rPr>
          <w:rFonts w:ascii="Times New Roman" w:hAnsi="Times New Roman" w:cs="Times New Roman"/>
          <w:sz w:val="24"/>
          <w:szCs w:val="24"/>
        </w:rPr>
        <w:t>8</w:t>
      </w:r>
      <w:r w:rsidR="001354B3">
        <w:rPr>
          <w:rFonts w:ascii="Times New Roman" w:hAnsi="Times New Roman" w:cs="Times New Roman"/>
          <w:sz w:val="24"/>
          <w:szCs w:val="24"/>
        </w:rPr>
        <w:t xml:space="preserve">. </w:t>
      </w:r>
      <w:r w:rsidR="00FA69EE">
        <w:rPr>
          <w:rFonts w:ascii="Times New Roman" w:hAnsi="Times New Roman" w:cs="Times New Roman"/>
          <w:sz w:val="24"/>
          <w:szCs w:val="24"/>
        </w:rPr>
        <w:t>T</w:t>
      </w:r>
      <w:r w:rsidR="001354B3">
        <w:rPr>
          <w:rFonts w:ascii="Times New Roman" w:hAnsi="Times New Roman" w:cs="Times New Roman"/>
          <w:sz w:val="24"/>
          <w:szCs w:val="24"/>
        </w:rPr>
        <w:t>he penalty for non-attendance (which includes unpunctuality) at advisory interviews changed in April 2010 from disentitlement to a fixed length sanction. It makes sense therefore to make a separate analysis for this type of ‘offence’ by combining the data for these penalties for the whole period April 2000 to October 2012, ignoring the distinction between di</w:t>
      </w:r>
      <w:r w:rsidR="000E2742">
        <w:rPr>
          <w:rFonts w:ascii="Times New Roman" w:hAnsi="Times New Roman" w:cs="Times New Roman"/>
          <w:sz w:val="24"/>
          <w:szCs w:val="24"/>
        </w:rPr>
        <w:t>s</w:t>
      </w:r>
      <w:r w:rsidR="001354B3">
        <w:rPr>
          <w:rFonts w:ascii="Times New Roman" w:hAnsi="Times New Roman" w:cs="Times New Roman"/>
          <w:sz w:val="24"/>
          <w:szCs w:val="24"/>
        </w:rPr>
        <w:t xml:space="preserve">entitlement and sanction. </w:t>
      </w:r>
    </w:p>
    <w:p w:rsidR="001354B3" w:rsidRDefault="001354B3" w:rsidP="001354B3">
      <w:pPr>
        <w:pStyle w:val="ListParagraph"/>
        <w:ind w:left="0"/>
        <w:rPr>
          <w:rFonts w:ascii="Times New Roman" w:hAnsi="Times New Roman" w:cs="Times New Roman"/>
          <w:sz w:val="24"/>
          <w:szCs w:val="24"/>
        </w:rPr>
      </w:pPr>
    </w:p>
    <w:p w:rsidR="001354B3" w:rsidRPr="00DF1929" w:rsidRDefault="00B544AF" w:rsidP="001354B3">
      <w:pPr>
        <w:pStyle w:val="ListParagraph"/>
        <w:ind w:left="0"/>
        <w:rPr>
          <w:rFonts w:ascii="Times New Roman" w:hAnsi="Times New Roman" w:cs="Times New Roman"/>
          <w:b/>
          <w:sz w:val="24"/>
          <w:szCs w:val="24"/>
        </w:rPr>
      </w:pPr>
      <w:r>
        <w:rPr>
          <w:rFonts w:ascii="Times New Roman" w:hAnsi="Times New Roman" w:cs="Times New Roman"/>
          <w:sz w:val="24"/>
          <w:szCs w:val="24"/>
        </w:rPr>
        <w:t>9</w:t>
      </w:r>
      <w:r w:rsidR="001354B3">
        <w:rPr>
          <w:rFonts w:ascii="Times New Roman" w:hAnsi="Times New Roman" w:cs="Times New Roman"/>
          <w:sz w:val="24"/>
          <w:szCs w:val="24"/>
        </w:rPr>
        <w:t>. The resulting correlations with local unemployment of penalties for non-attendance at advisory interviews are quite different at regional and local authority level. For both referrals for sanction and actual sanctions, there are strong positive correlations at regional level (+0.58 and +0.64 respectively)</w:t>
      </w:r>
      <w:r w:rsidR="00FA69EE">
        <w:rPr>
          <w:rFonts w:ascii="Times New Roman" w:hAnsi="Times New Roman" w:cs="Times New Roman"/>
          <w:sz w:val="24"/>
          <w:szCs w:val="24"/>
        </w:rPr>
        <w:t>, with the latter statistically significant,</w:t>
      </w:r>
      <w:r w:rsidR="001354B3">
        <w:rPr>
          <w:rFonts w:ascii="Times New Roman" w:hAnsi="Times New Roman" w:cs="Times New Roman"/>
          <w:sz w:val="24"/>
          <w:szCs w:val="24"/>
        </w:rPr>
        <w:t xml:space="preserve"> but no </w:t>
      </w:r>
      <w:r w:rsidR="00FA69EE">
        <w:rPr>
          <w:rFonts w:ascii="Times New Roman" w:hAnsi="Times New Roman" w:cs="Times New Roman"/>
          <w:sz w:val="24"/>
          <w:szCs w:val="24"/>
        </w:rPr>
        <w:t>correlation</w:t>
      </w:r>
      <w:r w:rsidR="001354B3">
        <w:rPr>
          <w:rFonts w:ascii="Times New Roman" w:hAnsi="Times New Roman" w:cs="Times New Roman"/>
          <w:sz w:val="24"/>
          <w:szCs w:val="24"/>
        </w:rPr>
        <w:t xml:space="preserve"> at local authority level. This suggests that claimants are generally treated more harshly in areas of high unemployment, either by being required to attend more interviews or by being more readily sanctioned for non-attendance or unpunctuality, but that there are substantial differences of practice between individual Jobcentre Plus offices.</w:t>
      </w:r>
      <w:r w:rsidR="00DF1929">
        <w:rPr>
          <w:rFonts w:ascii="Times New Roman" w:hAnsi="Times New Roman" w:cs="Times New Roman"/>
          <w:sz w:val="24"/>
          <w:szCs w:val="24"/>
        </w:rPr>
        <w:t xml:space="preserve"> </w:t>
      </w:r>
    </w:p>
    <w:p w:rsidR="001354B3" w:rsidRDefault="001354B3" w:rsidP="001354B3">
      <w:pPr>
        <w:pStyle w:val="ListParagraph"/>
        <w:ind w:left="0"/>
        <w:rPr>
          <w:rFonts w:ascii="Times New Roman" w:hAnsi="Times New Roman" w:cs="Times New Roman"/>
          <w:sz w:val="24"/>
          <w:szCs w:val="24"/>
        </w:rPr>
      </w:pPr>
    </w:p>
    <w:p w:rsidR="00C45E9E" w:rsidRPr="00C45E9E" w:rsidRDefault="00C45E9E" w:rsidP="00DD1C75">
      <w:pPr>
        <w:pStyle w:val="ListParagraph"/>
        <w:ind w:left="0"/>
        <w:rPr>
          <w:rFonts w:ascii="Times New Roman" w:hAnsi="Times New Roman" w:cs="Times New Roman"/>
          <w:i/>
          <w:sz w:val="24"/>
          <w:szCs w:val="24"/>
        </w:rPr>
      </w:pPr>
      <w:r w:rsidRPr="00C45E9E">
        <w:rPr>
          <w:rFonts w:ascii="Times New Roman" w:hAnsi="Times New Roman" w:cs="Times New Roman"/>
          <w:i/>
          <w:sz w:val="24"/>
          <w:szCs w:val="24"/>
        </w:rPr>
        <w:t>Fixed length sanctions</w:t>
      </w:r>
      <w:r>
        <w:rPr>
          <w:rFonts w:ascii="Times New Roman" w:hAnsi="Times New Roman" w:cs="Times New Roman"/>
          <w:i/>
          <w:sz w:val="24"/>
          <w:szCs w:val="24"/>
        </w:rPr>
        <w:t xml:space="preserve"> related to training and employment programmes</w:t>
      </w:r>
    </w:p>
    <w:p w:rsidR="00C45E9E" w:rsidRDefault="00C45E9E" w:rsidP="00DD1C75">
      <w:pPr>
        <w:pStyle w:val="ListParagraph"/>
        <w:ind w:left="0"/>
        <w:rPr>
          <w:rFonts w:ascii="Times New Roman" w:hAnsi="Times New Roman" w:cs="Times New Roman"/>
          <w:sz w:val="24"/>
          <w:szCs w:val="24"/>
        </w:rPr>
      </w:pPr>
    </w:p>
    <w:p w:rsidR="00A32421" w:rsidRDefault="000E2742" w:rsidP="00DD1C75">
      <w:pPr>
        <w:pStyle w:val="ListParagraph"/>
        <w:ind w:left="0"/>
        <w:rPr>
          <w:rFonts w:ascii="Times New Roman" w:hAnsi="Times New Roman" w:cs="Times New Roman"/>
          <w:sz w:val="24"/>
          <w:szCs w:val="24"/>
        </w:rPr>
      </w:pPr>
      <w:r>
        <w:rPr>
          <w:rFonts w:ascii="Times New Roman" w:hAnsi="Times New Roman" w:cs="Times New Roman"/>
          <w:sz w:val="24"/>
          <w:szCs w:val="24"/>
        </w:rPr>
        <w:t>1</w:t>
      </w:r>
      <w:r w:rsidR="00B544AF">
        <w:rPr>
          <w:rFonts w:ascii="Times New Roman" w:hAnsi="Times New Roman" w:cs="Times New Roman"/>
          <w:sz w:val="24"/>
          <w:szCs w:val="24"/>
        </w:rPr>
        <w:t>0</w:t>
      </w:r>
      <w:r w:rsidR="00E84D01">
        <w:rPr>
          <w:rFonts w:ascii="Times New Roman" w:hAnsi="Times New Roman" w:cs="Times New Roman"/>
          <w:sz w:val="24"/>
          <w:szCs w:val="24"/>
        </w:rPr>
        <w:t xml:space="preserve">. Fixed length sanctions other than those for not attending an advisory interview are </w:t>
      </w:r>
      <w:r w:rsidR="00E865B1">
        <w:rPr>
          <w:rFonts w:ascii="Times New Roman" w:hAnsi="Times New Roman" w:cs="Times New Roman"/>
          <w:sz w:val="24"/>
          <w:szCs w:val="24"/>
        </w:rPr>
        <w:t>incurred as a result of</w:t>
      </w:r>
      <w:r w:rsidR="00E84D01">
        <w:rPr>
          <w:rFonts w:ascii="Times New Roman" w:hAnsi="Times New Roman" w:cs="Times New Roman"/>
          <w:sz w:val="24"/>
          <w:szCs w:val="24"/>
        </w:rPr>
        <w:t xml:space="preserve"> different kinds of non-participation in training and employment programmes</w:t>
      </w:r>
      <w:r w:rsidR="008D5068">
        <w:rPr>
          <w:rFonts w:ascii="Times New Roman" w:hAnsi="Times New Roman" w:cs="Times New Roman"/>
          <w:sz w:val="24"/>
          <w:szCs w:val="24"/>
        </w:rPr>
        <w:t xml:space="preserve"> (latterly including the Work Programme)</w:t>
      </w:r>
      <w:r w:rsidR="00E84D01">
        <w:rPr>
          <w:rFonts w:ascii="Times New Roman" w:hAnsi="Times New Roman" w:cs="Times New Roman"/>
          <w:sz w:val="24"/>
          <w:szCs w:val="24"/>
        </w:rPr>
        <w:t xml:space="preserve">. </w:t>
      </w:r>
      <w:r w:rsidR="00E6362F">
        <w:rPr>
          <w:rFonts w:ascii="Times New Roman" w:hAnsi="Times New Roman" w:cs="Times New Roman"/>
          <w:sz w:val="24"/>
          <w:szCs w:val="24"/>
        </w:rPr>
        <w:t xml:space="preserve">These training and employment programme </w:t>
      </w:r>
      <w:r w:rsidR="00F32232">
        <w:rPr>
          <w:rFonts w:ascii="Times New Roman" w:hAnsi="Times New Roman" w:cs="Times New Roman"/>
          <w:sz w:val="24"/>
          <w:szCs w:val="24"/>
        </w:rPr>
        <w:t xml:space="preserve">referrals and sanctions </w:t>
      </w:r>
      <w:r w:rsidR="00E84D01">
        <w:rPr>
          <w:rFonts w:ascii="Times New Roman" w:hAnsi="Times New Roman" w:cs="Times New Roman"/>
          <w:sz w:val="24"/>
          <w:szCs w:val="24"/>
        </w:rPr>
        <w:t xml:space="preserve">are correlated positively with the local unemployment rate </w:t>
      </w:r>
      <w:r>
        <w:rPr>
          <w:rFonts w:ascii="Times New Roman" w:hAnsi="Times New Roman" w:cs="Times New Roman"/>
          <w:sz w:val="24"/>
          <w:szCs w:val="24"/>
        </w:rPr>
        <w:t xml:space="preserve">at </w:t>
      </w:r>
      <w:proofErr w:type="gramStart"/>
      <w:r>
        <w:rPr>
          <w:rFonts w:ascii="Times New Roman" w:hAnsi="Times New Roman" w:cs="Times New Roman"/>
          <w:sz w:val="24"/>
          <w:szCs w:val="24"/>
        </w:rPr>
        <w:t>both the</w:t>
      </w:r>
      <w:proofErr w:type="gramEnd"/>
      <w:r>
        <w:rPr>
          <w:rFonts w:ascii="Times New Roman" w:hAnsi="Times New Roman" w:cs="Times New Roman"/>
          <w:sz w:val="24"/>
          <w:szCs w:val="24"/>
        </w:rPr>
        <w:t xml:space="preserve"> local authority and the regional level </w:t>
      </w:r>
      <w:r w:rsidR="00E84D01">
        <w:rPr>
          <w:rFonts w:ascii="Times New Roman" w:hAnsi="Times New Roman" w:cs="Times New Roman"/>
          <w:sz w:val="24"/>
          <w:szCs w:val="24"/>
        </w:rPr>
        <w:t>(+0.4</w:t>
      </w:r>
      <w:r w:rsidR="00F32232">
        <w:rPr>
          <w:rFonts w:ascii="Times New Roman" w:hAnsi="Times New Roman" w:cs="Times New Roman"/>
          <w:sz w:val="24"/>
          <w:szCs w:val="24"/>
        </w:rPr>
        <w:t>2</w:t>
      </w:r>
      <w:r w:rsidR="00E84D01">
        <w:rPr>
          <w:rFonts w:ascii="Times New Roman" w:hAnsi="Times New Roman" w:cs="Times New Roman"/>
          <w:sz w:val="24"/>
          <w:szCs w:val="24"/>
        </w:rPr>
        <w:t xml:space="preserve"> </w:t>
      </w:r>
      <w:r w:rsidR="00F32232">
        <w:rPr>
          <w:rFonts w:ascii="Times New Roman" w:hAnsi="Times New Roman" w:cs="Times New Roman"/>
          <w:sz w:val="24"/>
          <w:szCs w:val="24"/>
        </w:rPr>
        <w:t>to</w:t>
      </w:r>
      <w:r>
        <w:rPr>
          <w:rFonts w:ascii="Times New Roman" w:hAnsi="Times New Roman" w:cs="Times New Roman"/>
          <w:sz w:val="24"/>
          <w:szCs w:val="24"/>
        </w:rPr>
        <w:t xml:space="preserve"> </w:t>
      </w:r>
      <w:r w:rsidR="00F32232">
        <w:rPr>
          <w:rFonts w:ascii="Times New Roman" w:hAnsi="Times New Roman" w:cs="Times New Roman"/>
          <w:sz w:val="24"/>
          <w:szCs w:val="24"/>
        </w:rPr>
        <w:t>+0.58</w:t>
      </w:r>
      <w:r w:rsidR="00E84D01">
        <w:rPr>
          <w:rFonts w:ascii="Times New Roman" w:hAnsi="Times New Roman" w:cs="Times New Roman"/>
          <w:sz w:val="24"/>
          <w:szCs w:val="24"/>
        </w:rPr>
        <w:t>)</w:t>
      </w:r>
      <w:r w:rsidR="00F32232">
        <w:rPr>
          <w:rFonts w:ascii="Times New Roman" w:hAnsi="Times New Roman" w:cs="Times New Roman"/>
          <w:sz w:val="24"/>
          <w:szCs w:val="24"/>
        </w:rPr>
        <w:t>, with the local authority level correlations both statistically significant</w:t>
      </w:r>
      <w:r w:rsidR="00E84D01">
        <w:rPr>
          <w:rFonts w:ascii="Times New Roman" w:hAnsi="Times New Roman" w:cs="Times New Roman"/>
          <w:sz w:val="24"/>
          <w:szCs w:val="24"/>
        </w:rPr>
        <w:t xml:space="preserve">. </w:t>
      </w:r>
      <w:r>
        <w:rPr>
          <w:rFonts w:ascii="Times New Roman" w:hAnsi="Times New Roman" w:cs="Times New Roman"/>
          <w:sz w:val="24"/>
          <w:szCs w:val="24"/>
        </w:rPr>
        <w:t xml:space="preserve">In other words, in respect of this type of sanction, the regime bears more harshly on claimants in areas of high unemployment. This is what the </w:t>
      </w:r>
      <w:r w:rsidRPr="000E2742">
        <w:rPr>
          <w:rFonts w:ascii="Times New Roman" w:hAnsi="Times New Roman" w:cs="Times New Roman"/>
          <w:i/>
          <w:sz w:val="24"/>
          <w:szCs w:val="24"/>
        </w:rPr>
        <w:t>Guardian</w:t>
      </w:r>
      <w:r>
        <w:rPr>
          <w:rFonts w:ascii="Times New Roman" w:hAnsi="Times New Roman" w:cs="Times New Roman"/>
          <w:sz w:val="24"/>
          <w:szCs w:val="24"/>
        </w:rPr>
        <w:t xml:space="preserve">’s analysis found, although the effect is stronger than </w:t>
      </w:r>
      <w:r w:rsidR="00A32421">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0E2742">
        <w:rPr>
          <w:rFonts w:ascii="Times New Roman" w:hAnsi="Times New Roman" w:cs="Times New Roman"/>
          <w:i/>
          <w:sz w:val="24"/>
          <w:szCs w:val="24"/>
        </w:rPr>
        <w:t>Guardian</w:t>
      </w:r>
      <w:r w:rsidR="00A32421">
        <w:rPr>
          <w:rFonts w:ascii="Times New Roman" w:hAnsi="Times New Roman" w:cs="Times New Roman"/>
          <w:sz w:val="24"/>
          <w:szCs w:val="24"/>
        </w:rPr>
        <w:t>‘s analysis</w:t>
      </w:r>
      <w:r>
        <w:rPr>
          <w:rFonts w:ascii="Times New Roman" w:hAnsi="Times New Roman" w:cs="Times New Roman"/>
          <w:sz w:val="24"/>
          <w:szCs w:val="24"/>
        </w:rPr>
        <w:t xml:space="preserve">, probably due mainly to removal of the confounding factor of the penalties for non-attendance at interview from April 2010. </w:t>
      </w:r>
    </w:p>
    <w:p w:rsidR="00A32421" w:rsidRDefault="00A32421" w:rsidP="00DD1C75">
      <w:pPr>
        <w:pStyle w:val="ListParagraph"/>
        <w:ind w:left="0"/>
        <w:rPr>
          <w:rFonts w:ascii="Times New Roman" w:hAnsi="Times New Roman" w:cs="Times New Roman"/>
          <w:sz w:val="24"/>
          <w:szCs w:val="24"/>
        </w:rPr>
      </w:pPr>
    </w:p>
    <w:p w:rsidR="00F16836" w:rsidRPr="009D1D38" w:rsidRDefault="00A32421" w:rsidP="00DD1C75">
      <w:pPr>
        <w:pStyle w:val="ListParagraph"/>
        <w:ind w:left="0"/>
        <w:rPr>
          <w:rFonts w:ascii="Times New Roman" w:hAnsi="Times New Roman" w:cs="Times New Roman"/>
          <w:b/>
          <w:color w:val="FF0000"/>
          <w:sz w:val="24"/>
          <w:szCs w:val="24"/>
        </w:rPr>
      </w:pPr>
      <w:r>
        <w:rPr>
          <w:rFonts w:ascii="Times New Roman" w:hAnsi="Times New Roman" w:cs="Times New Roman"/>
          <w:sz w:val="24"/>
          <w:szCs w:val="24"/>
        </w:rPr>
        <w:t>1</w:t>
      </w:r>
      <w:r w:rsidR="00B544AF">
        <w:rPr>
          <w:rFonts w:ascii="Times New Roman" w:hAnsi="Times New Roman" w:cs="Times New Roman"/>
          <w:sz w:val="24"/>
          <w:szCs w:val="24"/>
        </w:rPr>
        <w:t>1</w:t>
      </w:r>
      <w:r>
        <w:rPr>
          <w:rFonts w:ascii="Times New Roman" w:hAnsi="Times New Roman" w:cs="Times New Roman"/>
          <w:sz w:val="24"/>
          <w:szCs w:val="24"/>
        </w:rPr>
        <w:t xml:space="preserve">. </w:t>
      </w:r>
      <w:r w:rsidR="004F6E98">
        <w:rPr>
          <w:rFonts w:ascii="Times New Roman" w:hAnsi="Times New Roman" w:cs="Times New Roman"/>
          <w:sz w:val="24"/>
          <w:szCs w:val="24"/>
        </w:rPr>
        <w:t>One explanation for t</w:t>
      </w:r>
      <w:r w:rsidR="008D5068">
        <w:rPr>
          <w:rFonts w:ascii="Times New Roman" w:hAnsi="Times New Roman" w:cs="Times New Roman"/>
          <w:sz w:val="24"/>
          <w:szCs w:val="24"/>
        </w:rPr>
        <w:t>h</w:t>
      </w:r>
      <w:r w:rsidR="00901A10">
        <w:rPr>
          <w:rFonts w:ascii="Times New Roman" w:hAnsi="Times New Roman" w:cs="Times New Roman"/>
          <w:sz w:val="24"/>
          <w:szCs w:val="24"/>
        </w:rPr>
        <w:t xml:space="preserve">e </w:t>
      </w:r>
      <w:r w:rsidR="004F6E98">
        <w:rPr>
          <w:rFonts w:ascii="Times New Roman" w:hAnsi="Times New Roman" w:cs="Times New Roman"/>
          <w:sz w:val="24"/>
          <w:szCs w:val="24"/>
        </w:rPr>
        <w:t>harsher treatment of claimants</w:t>
      </w:r>
      <w:r w:rsidR="00901A10">
        <w:rPr>
          <w:rFonts w:ascii="Times New Roman" w:hAnsi="Times New Roman" w:cs="Times New Roman"/>
          <w:sz w:val="24"/>
          <w:szCs w:val="24"/>
        </w:rPr>
        <w:t xml:space="preserve"> in high unemployment areas </w:t>
      </w:r>
      <w:r w:rsidR="00D63369">
        <w:rPr>
          <w:rFonts w:ascii="Times New Roman" w:hAnsi="Times New Roman" w:cs="Times New Roman"/>
          <w:sz w:val="24"/>
          <w:szCs w:val="24"/>
        </w:rPr>
        <w:t xml:space="preserve">in relation to this type of sanction </w:t>
      </w:r>
      <w:r w:rsidR="004F6E98">
        <w:rPr>
          <w:rFonts w:ascii="Times New Roman" w:hAnsi="Times New Roman" w:cs="Times New Roman"/>
          <w:sz w:val="24"/>
          <w:szCs w:val="24"/>
        </w:rPr>
        <w:t>would be if</w:t>
      </w:r>
      <w:r w:rsidR="008D5068">
        <w:rPr>
          <w:rFonts w:ascii="Times New Roman" w:hAnsi="Times New Roman" w:cs="Times New Roman"/>
          <w:sz w:val="24"/>
          <w:szCs w:val="24"/>
        </w:rPr>
        <w:t xml:space="preserve"> claimants </w:t>
      </w:r>
      <w:r w:rsidR="00673FE7">
        <w:rPr>
          <w:rFonts w:ascii="Times New Roman" w:hAnsi="Times New Roman" w:cs="Times New Roman"/>
          <w:sz w:val="24"/>
          <w:szCs w:val="24"/>
        </w:rPr>
        <w:t xml:space="preserve">are </w:t>
      </w:r>
      <w:r w:rsidR="008D5068">
        <w:rPr>
          <w:rFonts w:ascii="Times New Roman" w:hAnsi="Times New Roman" w:cs="Times New Roman"/>
          <w:sz w:val="24"/>
          <w:szCs w:val="24"/>
        </w:rPr>
        <w:t>sent on t</w:t>
      </w:r>
      <w:r w:rsidR="00901A10">
        <w:rPr>
          <w:rFonts w:ascii="Times New Roman" w:hAnsi="Times New Roman" w:cs="Times New Roman"/>
          <w:sz w:val="24"/>
          <w:szCs w:val="24"/>
        </w:rPr>
        <w:t>raining or employment</w:t>
      </w:r>
      <w:r w:rsidR="008D5068">
        <w:rPr>
          <w:rFonts w:ascii="Times New Roman" w:hAnsi="Times New Roman" w:cs="Times New Roman"/>
          <w:sz w:val="24"/>
          <w:szCs w:val="24"/>
        </w:rPr>
        <w:t xml:space="preserve"> programmes only after they have been unemployed for a significant </w:t>
      </w:r>
      <w:r w:rsidR="00D14651">
        <w:rPr>
          <w:rFonts w:ascii="Times New Roman" w:hAnsi="Times New Roman" w:cs="Times New Roman"/>
          <w:sz w:val="24"/>
          <w:szCs w:val="24"/>
        </w:rPr>
        <w:t>time</w:t>
      </w:r>
      <w:r w:rsidR="004F6E98">
        <w:rPr>
          <w:rFonts w:ascii="Times New Roman" w:hAnsi="Times New Roman" w:cs="Times New Roman"/>
          <w:sz w:val="24"/>
          <w:szCs w:val="24"/>
        </w:rPr>
        <w:t xml:space="preserve">. </w:t>
      </w:r>
      <w:r w:rsidR="00647334">
        <w:rPr>
          <w:rFonts w:ascii="Times New Roman" w:hAnsi="Times New Roman" w:cs="Times New Roman"/>
          <w:sz w:val="24"/>
          <w:szCs w:val="24"/>
        </w:rPr>
        <w:t>Areas with a higher level o</w:t>
      </w:r>
      <w:r w:rsidR="008D5068">
        <w:rPr>
          <w:rFonts w:ascii="Times New Roman" w:hAnsi="Times New Roman" w:cs="Times New Roman"/>
          <w:sz w:val="24"/>
          <w:szCs w:val="24"/>
        </w:rPr>
        <w:t xml:space="preserve">f </w:t>
      </w:r>
      <w:r w:rsidR="00647334">
        <w:rPr>
          <w:rFonts w:ascii="Times New Roman" w:hAnsi="Times New Roman" w:cs="Times New Roman"/>
          <w:sz w:val="24"/>
          <w:szCs w:val="24"/>
        </w:rPr>
        <w:t xml:space="preserve">unemployment also have a higher proportion of </w:t>
      </w:r>
      <w:r w:rsidR="008D5068">
        <w:rPr>
          <w:rFonts w:ascii="Times New Roman" w:hAnsi="Times New Roman" w:cs="Times New Roman"/>
          <w:sz w:val="24"/>
          <w:szCs w:val="24"/>
        </w:rPr>
        <w:t>long-term unemploy</w:t>
      </w:r>
      <w:r w:rsidR="00647334">
        <w:rPr>
          <w:rFonts w:ascii="Times New Roman" w:hAnsi="Times New Roman" w:cs="Times New Roman"/>
          <w:sz w:val="24"/>
          <w:szCs w:val="24"/>
        </w:rPr>
        <w:t>ed</w:t>
      </w:r>
      <w:r w:rsidR="008D5068">
        <w:rPr>
          <w:rFonts w:ascii="Times New Roman" w:hAnsi="Times New Roman" w:cs="Times New Roman"/>
          <w:sz w:val="24"/>
          <w:szCs w:val="24"/>
        </w:rPr>
        <w:t xml:space="preserve"> (Webster 2005). </w:t>
      </w:r>
      <w:r w:rsidR="004F6E98">
        <w:rPr>
          <w:rFonts w:ascii="Times New Roman" w:hAnsi="Times New Roman" w:cs="Times New Roman"/>
          <w:sz w:val="24"/>
          <w:szCs w:val="24"/>
        </w:rPr>
        <w:t xml:space="preserve">However, this explanation does not fit. </w:t>
      </w:r>
      <w:r w:rsidR="004F6E98" w:rsidRPr="00F16836">
        <w:rPr>
          <w:rFonts w:ascii="Times New Roman" w:hAnsi="Times New Roman" w:cs="Times New Roman"/>
          <w:b/>
          <w:sz w:val="24"/>
          <w:szCs w:val="24"/>
        </w:rPr>
        <w:t>Table 2</w:t>
      </w:r>
      <w:r w:rsidR="004F6E98">
        <w:rPr>
          <w:rFonts w:ascii="Times New Roman" w:hAnsi="Times New Roman" w:cs="Times New Roman"/>
          <w:sz w:val="24"/>
          <w:szCs w:val="24"/>
        </w:rPr>
        <w:t xml:space="preserve"> shows that</w:t>
      </w:r>
      <w:r w:rsidR="00F16836">
        <w:rPr>
          <w:rFonts w:ascii="Times New Roman" w:hAnsi="Times New Roman" w:cs="Times New Roman"/>
          <w:sz w:val="24"/>
          <w:szCs w:val="24"/>
        </w:rPr>
        <w:t xml:space="preserve">, </w:t>
      </w:r>
      <w:r w:rsidR="006D4073">
        <w:rPr>
          <w:rFonts w:ascii="Times New Roman" w:hAnsi="Times New Roman" w:cs="Times New Roman"/>
          <w:sz w:val="24"/>
          <w:szCs w:val="24"/>
        </w:rPr>
        <w:t>of</w:t>
      </w:r>
      <w:r w:rsidR="00F16836">
        <w:rPr>
          <w:rFonts w:ascii="Times New Roman" w:hAnsi="Times New Roman" w:cs="Times New Roman"/>
          <w:sz w:val="24"/>
          <w:szCs w:val="24"/>
        </w:rPr>
        <w:t xml:space="preserve"> claimants with </w:t>
      </w:r>
      <w:r w:rsidR="006D4073">
        <w:rPr>
          <w:rFonts w:ascii="Times New Roman" w:hAnsi="Times New Roman" w:cs="Times New Roman"/>
          <w:sz w:val="24"/>
          <w:szCs w:val="24"/>
        </w:rPr>
        <w:t xml:space="preserve">a </w:t>
      </w:r>
      <w:r w:rsidR="00F16836">
        <w:rPr>
          <w:rFonts w:ascii="Times New Roman" w:hAnsi="Times New Roman" w:cs="Times New Roman"/>
          <w:sz w:val="24"/>
          <w:szCs w:val="24"/>
        </w:rPr>
        <w:t>known duration</w:t>
      </w:r>
      <w:r w:rsidR="006D4073">
        <w:rPr>
          <w:rFonts w:ascii="Times New Roman" w:hAnsi="Times New Roman" w:cs="Times New Roman"/>
          <w:sz w:val="24"/>
          <w:szCs w:val="24"/>
        </w:rPr>
        <w:t xml:space="preserve">, </w:t>
      </w:r>
      <w:r w:rsidR="00F16836">
        <w:rPr>
          <w:rFonts w:ascii="Times New Roman" w:hAnsi="Times New Roman" w:cs="Times New Roman"/>
          <w:sz w:val="24"/>
          <w:szCs w:val="24"/>
        </w:rPr>
        <w:t>a majority given this type of sanction in 2000</w:t>
      </w:r>
      <w:r w:rsidR="00E6362F">
        <w:rPr>
          <w:rFonts w:ascii="Times New Roman" w:hAnsi="Times New Roman" w:cs="Times New Roman"/>
          <w:sz w:val="24"/>
          <w:szCs w:val="24"/>
        </w:rPr>
        <w:t xml:space="preserve"> to </w:t>
      </w:r>
      <w:r w:rsidR="00F16836">
        <w:rPr>
          <w:rFonts w:ascii="Times New Roman" w:hAnsi="Times New Roman" w:cs="Times New Roman"/>
          <w:sz w:val="24"/>
          <w:szCs w:val="24"/>
        </w:rPr>
        <w:t>2012 were unemployed for three months or less, and rates of sanction for long- and short-term unemployed claimants were similar.</w:t>
      </w:r>
      <w:r w:rsidR="00405B3E">
        <w:rPr>
          <w:rFonts w:ascii="Times New Roman" w:hAnsi="Times New Roman" w:cs="Times New Roman"/>
          <w:sz w:val="24"/>
          <w:szCs w:val="24"/>
        </w:rPr>
        <w:t xml:space="preserve"> </w:t>
      </w:r>
      <w:r w:rsidR="001F0921">
        <w:rPr>
          <w:rFonts w:ascii="Times New Roman" w:hAnsi="Times New Roman" w:cs="Times New Roman"/>
          <w:sz w:val="24"/>
          <w:szCs w:val="24"/>
        </w:rPr>
        <w:t xml:space="preserve">There must therefore be some other explanation. </w:t>
      </w:r>
    </w:p>
    <w:p w:rsidR="00E84D01" w:rsidRPr="009D1D38" w:rsidRDefault="00E84D01" w:rsidP="00DD1C75">
      <w:pPr>
        <w:pStyle w:val="ListParagraph"/>
        <w:ind w:left="0"/>
        <w:rPr>
          <w:rFonts w:ascii="Times New Roman" w:hAnsi="Times New Roman" w:cs="Times New Roman"/>
          <w:b/>
          <w:color w:val="FF0000"/>
          <w:sz w:val="24"/>
          <w:szCs w:val="24"/>
        </w:rPr>
      </w:pPr>
    </w:p>
    <w:p w:rsidR="00C45E9E" w:rsidRPr="00C45E9E" w:rsidRDefault="00C45E9E" w:rsidP="00DD1C75">
      <w:pPr>
        <w:pStyle w:val="ListParagraph"/>
        <w:ind w:left="0"/>
        <w:rPr>
          <w:rFonts w:ascii="Times New Roman" w:hAnsi="Times New Roman" w:cs="Times New Roman"/>
          <w:i/>
          <w:sz w:val="24"/>
          <w:szCs w:val="24"/>
        </w:rPr>
      </w:pPr>
      <w:r w:rsidRPr="00C45E9E">
        <w:rPr>
          <w:rFonts w:ascii="Times New Roman" w:hAnsi="Times New Roman" w:cs="Times New Roman"/>
          <w:i/>
          <w:sz w:val="24"/>
          <w:szCs w:val="24"/>
        </w:rPr>
        <w:t>Disentitlements</w:t>
      </w:r>
    </w:p>
    <w:p w:rsidR="00C45E9E" w:rsidRDefault="00C45E9E" w:rsidP="00DD1C75">
      <w:pPr>
        <w:pStyle w:val="ListParagraph"/>
        <w:ind w:left="0"/>
        <w:rPr>
          <w:rFonts w:ascii="Times New Roman" w:hAnsi="Times New Roman" w:cs="Times New Roman"/>
          <w:sz w:val="24"/>
          <w:szCs w:val="24"/>
        </w:rPr>
      </w:pPr>
    </w:p>
    <w:p w:rsidR="001169FE" w:rsidRDefault="00161C3D" w:rsidP="00DD1C75">
      <w:pPr>
        <w:pStyle w:val="ListParagraph"/>
        <w:ind w:left="0"/>
        <w:rPr>
          <w:rFonts w:ascii="Times New Roman" w:hAnsi="Times New Roman" w:cs="Times New Roman"/>
          <w:sz w:val="24"/>
          <w:szCs w:val="24"/>
        </w:rPr>
      </w:pPr>
      <w:r>
        <w:rPr>
          <w:rFonts w:ascii="Times New Roman" w:hAnsi="Times New Roman" w:cs="Times New Roman"/>
          <w:sz w:val="24"/>
          <w:szCs w:val="24"/>
        </w:rPr>
        <w:t>1</w:t>
      </w:r>
      <w:r w:rsidR="00B544AF">
        <w:rPr>
          <w:rFonts w:ascii="Times New Roman" w:hAnsi="Times New Roman" w:cs="Times New Roman"/>
          <w:sz w:val="24"/>
          <w:szCs w:val="24"/>
        </w:rPr>
        <w:t>2</w:t>
      </w:r>
      <w:r>
        <w:rPr>
          <w:rFonts w:ascii="Times New Roman" w:hAnsi="Times New Roman" w:cs="Times New Roman"/>
          <w:sz w:val="24"/>
          <w:szCs w:val="24"/>
        </w:rPr>
        <w:t xml:space="preserve">. </w:t>
      </w:r>
      <w:r w:rsidR="00186C2C" w:rsidRPr="00186C2C">
        <w:rPr>
          <w:rFonts w:ascii="Times New Roman" w:hAnsi="Times New Roman" w:cs="Times New Roman"/>
          <w:b/>
          <w:sz w:val="24"/>
          <w:szCs w:val="24"/>
        </w:rPr>
        <w:t>Table 1</w:t>
      </w:r>
      <w:r w:rsidR="00186C2C">
        <w:rPr>
          <w:rFonts w:ascii="Times New Roman" w:hAnsi="Times New Roman" w:cs="Times New Roman"/>
          <w:sz w:val="24"/>
          <w:szCs w:val="24"/>
        </w:rPr>
        <w:t xml:space="preserve"> shows that d</w:t>
      </w:r>
      <w:r w:rsidR="009F72EE">
        <w:rPr>
          <w:rFonts w:ascii="Times New Roman" w:hAnsi="Times New Roman" w:cs="Times New Roman"/>
          <w:sz w:val="24"/>
          <w:szCs w:val="24"/>
        </w:rPr>
        <w:t xml:space="preserve">isentitlements for not actively seeking work are not related to the local unemployment rate. The remaining </w:t>
      </w:r>
      <w:r w:rsidR="003F505F">
        <w:rPr>
          <w:rFonts w:ascii="Times New Roman" w:hAnsi="Times New Roman" w:cs="Times New Roman"/>
          <w:sz w:val="24"/>
          <w:szCs w:val="24"/>
        </w:rPr>
        <w:t>types</w:t>
      </w:r>
      <w:r w:rsidR="009F72EE">
        <w:rPr>
          <w:rFonts w:ascii="Times New Roman" w:hAnsi="Times New Roman" w:cs="Times New Roman"/>
          <w:sz w:val="24"/>
          <w:szCs w:val="24"/>
        </w:rPr>
        <w:t xml:space="preserve"> of e</w:t>
      </w:r>
      <w:r>
        <w:rPr>
          <w:rFonts w:ascii="Times New Roman" w:hAnsi="Times New Roman" w:cs="Times New Roman"/>
          <w:sz w:val="24"/>
          <w:szCs w:val="24"/>
        </w:rPr>
        <w:t>ntitlement decisions (</w:t>
      </w:r>
      <w:r w:rsidR="009F72EE">
        <w:rPr>
          <w:rFonts w:ascii="Times New Roman" w:hAnsi="Times New Roman" w:cs="Times New Roman"/>
          <w:sz w:val="24"/>
          <w:szCs w:val="24"/>
        </w:rPr>
        <w:t xml:space="preserve">i.e. excluding ‘actively seeking work’ and </w:t>
      </w:r>
      <w:r>
        <w:rPr>
          <w:rFonts w:ascii="Times New Roman" w:hAnsi="Times New Roman" w:cs="Times New Roman"/>
          <w:sz w:val="24"/>
          <w:szCs w:val="24"/>
        </w:rPr>
        <w:t xml:space="preserve">non-attendance at interviews prior to April 2010) </w:t>
      </w:r>
      <w:r w:rsidR="009F72EE">
        <w:rPr>
          <w:rFonts w:ascii="Times New Roman" w:hAnsi="Times New Roman" w:cs="Times New Roman"/>
          <w:sz w:val="24"/>
          <w:szCs w:val="24"/>
        </w:rPr>
        <w:t>have only a slight relationship with t</w:t>
      </w:r>
      <w:r w:rsidR="00AE2539">
        <w:rPr>
          <w:rFonts w:ascii="Times New Roman" w:hAnsi="Times New Roman" w:cs="Times New Roman"/>
          <w:sz w:val="24"/>
          <w:szCs w:val="24"/>
        </w:rPr>
        <w:t>he local unemployment rate</w:t>
      </w:r>
      <w:r w:rsidR="009F72EE">
        <w:rPr>
          <w:rFonts w:ascii="Times New Roman" w:hAnsi="Times New Roman" w:cs="Times New Roman"/>
          <w:sz w:val="24"/>
          <w:szCs w:val="24"/>
        </w:rPr>
        <w:t>.</w:t>
      </w:r>
    </w:p>
    <w:p w:rsidR="00F668CE" w:rsidRDefault="00F668CE" w:rsidP="00DD1C75">
      <w:pPr>
        <w:pStyle w:val="ListParagraph"/>
        <w:ind w:left="0"/>
        <w:rPr>
          <w:rFonts w:ascii="Times New Roman" w:hAnsi="Times New Roman" w:cs="Times New Roman"/>
          <w:sz w:val="24"/>
          <w:szCs w:val="24"/>
        </w:rPr>
      </w:pPr>
    </w:p>
    <w:p w:rsidR="00F668CE" w:rsidRPr="005006B7" w:rsidRDefault="00F54FE1" w:rsidP="00DD1C75">
      <w:pPr>
        <w:pStyle w:val="ListParagraph"/>
        <w:ind w:left="0"/>
        <w:rPr>
          <w:rFonts w:ascii="Times New Roman" w:hAnsi="Times New Roman" w:cs="Times New Roman"/>
          <w:b/>
          <w:sz w:val="24"/>
          <w:szCs w:val="24"/>
        </w:rPr>
      </w:pPr>
      <w:r>
        <w:rPr>
          <w:rFonts w:ascii="Times New Roman" w:hAnsi="Times New Roman" w:cs="Times New Roman"/>
          <w:b/>
          <w:sz w:val="24"/>
          <w:szCs w:val="24"/>
        </w:rPr>
        <w:t>Variations in</w:t>
      </w:r>
      <w:r w:rsidR="005006B7" w:rsidRPr="005006B7">
        <w:rPr>
          <w:rFonts w:ascii="Times New Roman" w:hAnsi="Times New Roman" w:cs="Times New Roman"/>
          <w:b/>
          <w:sz w:val="24"/>
          <w:szCs w:val="24"/>
        </w:rPr>
        <w:t xml:space="preserve"> </w:t>
      </w:r>
      <w:r w:rsidR="001815C7">
        <w:rPr>
          <w:rFonts w:ascii="Times New Roman" w:hAnsi="Times New Roman" w:cs="Times New Roman"/>
          <w:b/>
          <w:sz w:val="24"/>
          <w:szCs w:val="24"/>
        </w:rPr>
        <w:t xml:space="preserve">referrals for </w:t>
      </w:r>
      <w:r w:rsidR="005006B7" w:rsidRPr="005006B7">
        <w:rPr>
          <w:rFonts w:ascii="Times New Roman" w:hAnsi="Times New Roman" w:cs="Times New Roman"/>
          <w:b/>
          <w:sz w:val="24"/>
          <w:szCs w:val="24"/>
        </w:rPr>
        <w:t xml:space="preserve">sanction </w:t>
      </w:r>
      <w:r w:rsidR="001815C7">
        <w:rPr>
          <w:rFonts w:ascii="Times New Roman" w:hAnsi="Times New Roman" w:cs="Times New Roman"/>
          <w:b/>
          <w:sz w:val="24"/>
          <w:szCs w:val="24"/>
        </w:rPr>
        <w:t>or disallowance</w:t>
      </w:r>
      <w:r w:rsidR="005006B7" w:rsidRPr="005006B7">
        <w:rPr>
          <w:rFonts w:ascii="Times New Roman" w:hAnsi="Times New Roman" w:cs="Times New Roman"/>
          <w:b/>
          <w:sz w:val="24"/>
          <w:szCs w:val="24"/>
        </w:rPr>
        <w:t xml:space="preserve"> b</w:t>
      </w:r>
      <w:r w:rsidR="007D40E6">
        <w:rPr>
          <w:rFonts w:ascii="Times New Roman" w:hAnsi="Times New Roman" w:cs="Times New Roman"/>
          <w:b/>
          <w:sz w:val="24"/>
          <w:szCs w:val="24"/>
        </w:rPr>
        <w:t>y Jobcentre Plus office</w:t>
      </w:r>
    </w:p>
    <w:p w:rsidR="005006B7" w:rsidRDefault="005006B7" w:rsidP="00DD1C75">
      <w:pPr>
        <w:pStyle w:val="ListParagraph"/>
        <w:ind w:left="0"/>
        <w:rPr>
          <w:rFonts w:ascii="Times New Roman" w:hAnsi="Times New Roman" w:cs="Times New Roman"/>
          <w:sz w:val="24"/>
          <w:szCs w:val="24"/>
        </w:rPr>
      </w:pPr>
    </w:p>
    <w:p w:rsidR="00437571" w:rsidRDefault="00B544AF" w:rsidP="00437571">
      <w:pPr>
        <w:pStyle w:val="ListParagraph"/>
        <w:ind w:left="0"/>
        <w:rPr>
          <w:rFonts w:ascii="Times New Roman" w:hAnsi="Times New Roman" w:cs="Times New Roman"/>
          <w:sz w:val="24"/>
          <w:szCs w:val="24"/>
        </w:rPr>
      </w:pPr>
      <w:r>
        <w:rPr>
          <w:rFonts w:ascii="Times New Roman" w:hAnsi="Times New Roman" w:cs="Times New Roman"/>
          <w:sz w:val="24"/>
          <w:szCs w:val="24"/>
        </w:rPr>
        <w:t>13</w:t>
      </w:r>
      <w:r w:rsidR="00F54FE1">
        <w:rPr>
          <w:rFonts w:ascii="Times New Roman" w:hAnsi="Times New Roman" w:cs="Times New Roman"/>
          <w:sz w:val="24"/>
          <w:szCs w:val="24"/>
        </w:rPr>
        <w:t xml:space="preserve">. On 15 May 2013 the DWP </w:t>
      </w:r>
      <w:r w:rsidR="00437571">
        <w:rPr>
          <w:rFonts w:ascii="Times New Roman" w:hAnsi="Times New Roman" w:cs="Times New Roman"/>
          <w:sz w:val="24"/>
          <w:szCs w:val="24"/>
        </w:rPr>
        <w:t xml:space="preserve">for the first time </w:t>
      </w:r>
      <w:r w:rsidR="00F54FE1">
        <w:rPr>
          <w:rFonts w:ascii="Times New Roman" w:hAnsi="Times New Roman" w:cs="Times New Roman"/>
          <w:sz w:val="24"/>
          <w:szCs w:val="24"/>
        </w:rPr>
        <w:t xml:space="preserve">published </w:t>
      </w:r>
      <w:r w:rsidR="00AB1390">
        <w:rPr>
          <w:rFonts w:ascii="Times New Roman" w:hAnsi="Times New Roman" w:cs="Times New Roman"/>
          <w:sz w:val="24"/>
          <w:szCs w:val="24"/>
        </w:rPr>
        <w:t>the</w:t>
      </w:r>
      <w:r w:rsidR="00F54FE1">
        <w:rPr>
          <w:rFonts w:ascii="Times New Roman" w:hAnsi="Times New Roman" w:cs="Times New Roman"/>
          <w:sz w:val="24"/>
          <w:szCs w:val="24"/>
        </w:rPr>
        <w:t xml:space="preserve"> number of sanctions and disallowances for </w:t>
      </w:r>
      <w:r w:rsidR="00437571">
        <w:rPr>
          <w:rFonts w:ascii="Times New Roman" w:hAnsi="Times New Roman" w:cs="Times New Roman"/>
          <w:sz w:val="24"/>
          <w:szCs w:val="24"/>
        </w:rPr>
        <w:t>individual</w:t>
      </w:r>
      <w:r w:rsidR="00F54FE1">
        <w:rPr>
          <w:rFonts w:ascii="Times New Roman" w:hAnsi="Times New Roman" w:cs="Times New Roman"/>
          <w:sz w:val="24"/>
          <w:szCs w:val="24"/>
        </w:rPr>
        <w:t xml:space="preserve"> Jobcentre Plus office</w:t>
      </w:r>
      <w:r w:rsidR="00437571">
        <w:rPr>
          <w:rFonts w:ascii="Times New Roman" w:hAnsi="Times New Roman" w:cs="Times New Roman"/>
          <w:sz w:val="24"/>
          <w:szCs w:val="24"/>
        </w:rPr>
        <w:t>s.</w:t>
      </w:r>
      <w:r w:rsidR="00F54FE1">
        <w:rPr>
          <w:rStyle w:val="EndnoteReference"/>
          <w:rFonts w:ascii="Times New Roman" w:hAnsi="Times New Roman" w:cs="Times New Roman"/>
          <w:sz w:val="24"/>
          <w:szCs w:val="24"/>
        </w:rPr>
        <w:endnoteReference w:id="3"/>
      </w:r>
      <w:r w:rsidR="00F54FE1">
        <w:rPr>
          <w:rFonts w:ascii="Times New Roman" w:hAnsi="Times New Roman" w:cs="Times New Roman"/>
          <w:sz w:val="24"/>
          <w:szCs w:val="24"/>
        </w:rPr>
        <w:t xml:space="preserve"> </w:t>
      </w:r>
      <w:r w:rsidR="00437571">
        <w:rPr>
          <w:rFonts w:ascii="Times New Roman" w:hAnsi="Times New Roman" w:cs="Times New Roman"/>
          <w:sz w:val="24"/>
          <w:szCs w:val="24"/>
        </w:rPr>
        <w:t xml:space="preserve">This publication gave figures for every month from April 2000 to 21 October 2012. In principle this information </w:t>
      </w:r>
      <w:r w:rsidR="00CE2F80">
        <w:rPr>
          <w:rFonts w:ascii="Times New Roman" w:hAnsi="Times New Roman" w:cs="Times New Roman"/>
          <w:sz w:val="24"/>
          <w:szCs w:val="24"/>
        </w:rPr>
        <w:t>c</w:t>
      </w:r>
      <w:r w:rsidR="00437571">
        <w:rPr>
          <w:rFonts w:ascii="Times New Roman" w:hAnsi="Times New Roman" w:cs="Times New Roman"/>
          <w:sz w:val="24"/>
          <w:szCs w:val="24"/>
        </w:rPr>
        <w:t>ould throw some further light on variations in practice</w:t>
      </w:r>
      <w:r w:rsidR="006A7180">
        <w:rPr>
          <w:rFonts w:ascii="Times New Roman" w:hAnsi="Times New Roman" w:cs="Times New Roman"/>
          <w:sz w:val="24"/>
          <w:szCs w:val="24"/>
        </w:rPr>
        <w:t xml:space="preserve"> between areas</w:t>
      </w:r>
      <w:r w:rsidR="00437571">
        <w:rPr>
          <w:rFonts w:ascii="Times New Roman" w:hAnsi="Times New Roman" w:cs="Times New Roman"/>
          <w:sz w:val="24"/>
          <w:szCs w:val="24"/>
        </w:rPr>
        <w:t xml:space="preserve">.  </w:t>
      </w:r>
    </w:p>
    <w:p w:rsidR="00437571" w:rsidRDefault="00437571" w:rsidP="00437571">
      <w:pPr>
        <w:pStyle w:val="ListParagraph"/>
        <w:ind w:left="0"/>
        <w:rPr>
          <w:rFonts w:ascii="Times New Roman" w:hAnsi="Times New Roman" w:cs="Times New Roman"/>
          <w:sz w:val="24"/>
          <w:szCs w:val="24"/>
        </w:rPr>
      </w:pPr>
    </w:p>
    <w:p w:rsidR="00437571" w:rsidRDefault="00B544AF" w:rsidP="00437571">
      <w:pPr>
        <w:pStyle w:val="ListParagraph"/>
        <w:ind w:left="0"/>
        <w:rPr>
          <w:rFonts w:ascii="Times New Roman" w:hAnsi="Times New Roman" w:cs="Times New Roman"/>
          <w:sz w:val="24"/>
          <w:szCs w:val="24"/>
        </w:rPr>
      </w:pPr>
      <w:r>
        <w:rPr>
          <w:rFonts w:ascii="Times New Roman" w:hAnsi="Times New Roman" w:cs="Times New Roman"/>
          <w:sz w:val="24"/>
          <w:szCs w:val="24"/>
        </w:rPr>
        <w:t>14</w:t>
      </w:r>
      <w:r w:rsidR="00437571">
        <w:rPr>
          <w:rFonts w:ascii="Times New Roman" w:hAnsi="Times New Roman" w:cs="Times New Roman"/>
          <w:sz w:val="24"/>
          <w:szCs w:val="24"/>
        </w:rPr>
        <w:t xml:space="preserve">. </w:t>
      </w:r>
      <w:r w:rsidR="00BC6B02">
        <w:rPr>
          <w:rFonts w:ascii="Times New Roman" w:hAnsi="Times New Roman" w:cs="Times New Roman"/>
          <w:sz w:val="24"/>
          <w:szCs w:val="24"/>
        </w:rPr>
        <w:t>To analyse these data, i</w:t>
      </w:r>
      <w:r w:rsidR="00437571">
        <w:rPr>
          <w:rFonts w:ascii="Times New Roman" w:hAnsi="Times New Roman" w:cs="Times New Roman"/>
          <w:sz w:val="24"/>
          <w:szCs w:val="24"/>
        </w:rPr>
        <w:t xml:space="preserve">t was first necessary to obtain figures for </w:t>
      </w:r>
      <w:r w:rsidR="004F6E19">
        <w:rPr>
          <w:rFonts w:ascii="Times New Roman" w:hAnsi="Times New Roman" w:cs="Times New Roman"/>
          <w:sz w:val="24"/>
          <w:szCs w:val="24"/>
        </w:rPr>
        <w:t xml:space="preserve">the caseload of JSA </w:t>
      </w:r>
      <w:r w:rsidR="0024325E">
        <w:rPr>
          <w:rFonts w:ascii="Times New Roman" w:hAnsi="Times New Roman" w:cs="Times New Roman"/>
          <w:sz w:val="24"/>
          <w:szCs w:val="24"/>
        </w:rPr>
        <w:t>claimants at each office</w:t>
      </w:r>
      <w:r w:rsidR="00437571">
        <w:rPr>
          <w:rFonts w:ascii="Times New Roman" w:hAnsi="Times New Roman" w:cs="Times New Roman"/>
          <w:sz w:val="24"/>
          <w:szCs w:val="24"/>
        </w:rPr>
        <w:t>, which the DWP did not publish</w:t>
      </w:r>
      <w:r w:rsidR="004F6E19">
        <w:rPr>
          <w:rFonts w:ascii="Times New Roman" w:hAnsi="Times New Roman" w:cs="Times New Roman"/>
          <w:sz w:val="24"/>
          <w:szCs w:val="24"/>
        </w:rPr>
        <w:t xml:space="preserve">. I therefore put in a Freedom of Information request for the </w:t>
      </w:r>
      <w:r w:rsidR="007F40DF">
        <w:rPr>
          <w:rFonts w:ascii="Times New Roman" w:hAnsi="Times New Roman" w:cs="Times New Roman"/>
          <w:sz w:val="24"/>
          <w:szCs w:val="24"/>
        </w:rPr>
        <w:t>Jobcentre caseload</w:t>
      </w:r>
      <w:r w:rsidR="004F6E19">
        <w:rPr>
          <w:rFonts w:ascii="Times New Roman" w:hAnsi="Times New Roman" w:cs="Times New Roman"/>
          <w:sz w:val="24"/>
          <w:szCs w:val="24"/>
        </w:rPr>
        <w:t xml:space="preserve"> figures (2013-2296, 21 June 2013).</w:t>
      </w:r>
      <w:r w:rsidR="00747F3D">
        <w:rPr>
          <w:rStyle w:val="EndnoteReference"/>
          <w:rFonts w:ascii="Times New Roman" w:hAnsi="Times New Roman" w:cs="Times New Roman"/>
          <w:sz w:val="24"/>
          <w:szCs w:val="24"/>
        </w:rPr>
        <w:endnoteReference w:id="4"/>
      </w:r>
      <w:r w:rsidR="00A17125">
        <w:rPr>
          <w:rFonts w:ascii="Times New Roman" w:hAnsi="Times New Roman" w:cs="Times New Roman"/>
          <w:sz w:val="24"/>
          <w:szCs w:val="24"/>
        </w:rPr>
        <w:t xml:space="preserve"> </w:t>
      </w:r>
      <w:r w:rsidR="00AA4350">
        <w:rPr>
          <w:rFonts w:ascii="Times New Roman" w:hAnsi="Times New Roman" w:cs="Times New Roman"/>
          <w:sz w:val="24"/>
          <w:szCs w:val="24"/>
        </w:rPr>
        <w:t xml:space="preserve">Within </w:t>
      </w:r>
      <w:r w:rsidR="00AA4350">
        <w:rPr>
          <w:rFonts w:ascii="Times New Roman" w:hAnsi="Times New Roman" w:cs="Times New Roman"/>
          <w:sz w:val="24"/>
          <w:szCs w:val="24"/>
        </w:rPr>
        <w:lastRenderedPageBreak/>
        <w:t xml:space="preserve">the </w:t>
      </w:r>
      <w:proofErr w:type="spellStart"/>
      <w:r w:rsidR="00AA4350">
        <w:rPr>
          <w:rFonts w:ascii="Times New Roman" w:hAnsi="Times New Roman" w:cs="Times New Roman"/>
          <w:sz w:val="24"/>
          <w:szCs w:val="24"/>
        </w:rPr>
        <w:t>FoI</w:t>
      </w:r>
      <w:proofErr w:type="spellEnd"/>
      <w:r w:rsidR="00AA4350">
        <w:rPr>
          <w:rFonts w:ascii="Times New Roman" w:hAnsi="Times New Roman" w:cs="Times New Roman"/>
          <w:sz w:val="24"/>
          <w:szCs w:val="24"/>
        </w:rPr>
        <w:t xml:space="preserve"> cost limit, t</w:t>
      </w:r>
      <w:r w:rsidR="00A17125">
        <w:rPr>
          <w:rFonts w:ascii="Times New Roman" w:hAnsi="Times New Roman" w:cs="Times New Roman"/>
          <w:sz w:val="24"/>
          <w:szCs w:val="24"/>
        </w:rPr>
        <w:t xml:space="preserve">he DWP </w:t>
      </w:r>
      <w:r w:rsidR="008A5249">
        <w:rPr>
          <w:rFonts w:ascii="Times New Roman" w:hAnsi="Times New Roman" w:cs="Times New Roman"/>
          <w:sz w:val="24"/>
          <w:szCs w:val="24"/>
        </w:rPr>
        <w:t xml:space="preserve">was able to supply figures only </w:t>
      </w:r>
      <w:r w:rsidR="008C39B8">
        <w:rPr>
          <w:rFonts w:ascii="Times New Roman" w:hAnsi="Times New Roman" w:cs="Times New Roman"/>
          <w:sz w:val="24"/>
          <w:szCs w:val="24"/>
        </w:rPr>
        <w:t>for</w:t>
      </w:r>
      <w:r w:rsidR="008A5249">
        <w:rPr>
          <w:rFonts w:ascii="Times New Roman" w:hAnsi="Times New Roman" w:cs="Times New Roman"/>
          <w:sz w:val="24"/>
          <w:szCs w:val="24"/>
        </w:rPr>
        <w:t xml:space="preserve"> </w:t>
      </w:r>
      <w:r w:rsidR="008C39B8">
        <w:rPr>
          <w:rFonts w:ascii="Times New Roman" w:hAnsi="Times New Roman" w:cs="Times New Roman"/>
          <w:sz w:val="24"/>
          <w:szCs w:val="24"/>
        </w:rPr>
        <w:t xml:space="preserve">the period 1 </w:t>
      </w:r>
      <w:r w:rsidR="00AA4350">
        <w:rPr>
          <w:rFonts w:ascii="Times New Roman" w:hAnsi="Times New Roman" w:cs="Times New Roman"/>
          <w:sz w:val="24"/>
          <w:szCs w:val="24"/>
        </w:rPr>
        <w:t>March 2008</w:t>
      </w:r>
      <w:r w:rsidR="008C39B8">
        <w:rPr>
          <w:rFonts w:ascii="Times New Roman" w:hAnsi="Times New Roman" w:cs="Times New Roman"/>
          <w:sz w:val="24"/>
          <w:szCs w:val="24"/>
        </w:rPr>
        <w:t xml:space="preserve"> to 21 October 2012</w:t>
      </w:r>
      <w:r w:rsidR="00AA4350">
        <w:rPr>
          <w:rFonts w:ascii="Times New Roman" w:hAnsi="Times New Roman" w:cs="Times New Roman"/>
          <w:sz w:val="24"/>
          <w:szCs w:val="24"/>
        </w:rPr>
        <w:t xml:space="preserve">. </w:t>
      </w:r>
    </w:p>
    <w:p w:rsidR="00437571" w:rsidRDefault="00437571" w:rsidP="00437571">
      <w:pPr>
        <w:pStyle w:val="ListParagraph"/>
        <w:ind w:left="0"/>
        <w:rPr>
          <w:rFonts w:ascii="Times New Roman" w:hAnsi="Times New Roman" w:cs="Times New Roman"/>
          <w:sz w:val="24"/>
          <w:szCs w:val="24"/>
        </w:rPr>
      </w:pPr>
    </w:p>
    <w:p w:rsidR="005A4C60" w:rsidRPr="005A4C60" w:rsidRDefault="00B544AF" w:rsidP="00663CCC">
      <w:pPr>
        <w:pStyle w:val="ListParagraph"/>
        <w:ind w:left="0"/>
        <w:rPr>
          <w:rFonts w:ascii="Times New Roman" w:hAnsi="Times New Roman" w:cs="Times New Roman"/>
          <w:sz w:val="24"/>
          <w:szCs w:val="24"/>
        </w:rPr>
      </w:pPr>
      <w:r>
        <w:rPr>
          <w:rFonts w:ascii="Times New Roman" w:hAnsi="Times New Roman" w:cs="Times New Roman"/>
          <w:sz w:val="24"/>
          <w:szCs w:val="24"/>
        </w:rPr>
        <w:t>15</w:t>
      </w:r>
      <w:r w:rsidR="00437571">
        <w:rPr>
          <w:rFonts w:ascii="Times New Roman" w:hAnsi="Times New Roman" w:cs="Times New Roman"/>
          <w:sz w:val="24"/>
          <w:szCs w:val="24"/>
        </w:rPr>
        <w:t>. It has not been possible to match up all of the offices for this period</w:t>
      </w:r>
      <w:r w:rsidR="003737C5">
        <w:rPr>
          <w:rFonts w:ascii="Times New Roman" w:hAnsi="Times New Roman" w:cs="Times New Roman"/>
          <w:sz w:val="24"/>
          <w:szCs w:val="24"/>
        </w:rPr>
        <w:t xml:space="preserve"> between the two sets of data</w:t>
      </w:r>
      <w:r w:rsidR="00E12458">
        <w:rPr>
          <w:rFonts w:ascii="Times New Roman" w:hAnsi="Times New Roman" w:cs="Times New Roman"/>
          <w:sz w:val="24"/>
          <w:szCs w:val="24"/>
        </w:rPr>
        <w:t>, and the</w:t>
      </w:r>
      <w:r w:rsidR="00437571">
        <w:rPr>
          <w:rFonts w:ascii="Times New Roman" w:hAnsi="Times New Roman" w:cs="Times New Roman"/>
          <w:sz w:val="24"/>
          <w:szCs w:val="24"/>
        </w:rPr>
        <w:t xml:space="preserve"> DWP also </w:t>
      </w:r>
      <w:r w:rsidR="00AA4350">
        <w:rPr>
          <w:rFonts w:ascii="Times New Roman" w:hAnsi="Times New Roman" w:cs="Times New Roman"/>
          <w:sz w:val="24"/>
          <w:szCs w:val="24"/>
        </w:rPr>
        <w:t>stated a number of provisos</w:t>
      </w:r>
      <w:r w:rsidR="004A24E6">
        <w:rPr>
          <w:rFonts w:ascii="Times New Roman" w:hAnsi="Times New Roman" w:cs="Times New Roman"/>
          <w:sz w:val="24"/>
          <w:szCs w:val="24"/>
        </w:rPr>
        <w:t xml:space="preserve"> to the </w:t>
      </w:r>
      <w:r w:rsidR="003737C5">
        <w:rPr>
          <w:rFonts w:ascii="Times New Roman" w:hAnsi="Times New Roman" w:cs="Times New Roman"/>
          <w:sz w:val="24"/>
          <w:szCs w:val="24"/>
        </w:rPr>
        <w:t xml:space="preserve">caseload </w:t>
      </w:r>
      <w:r w:rsidR="004A24E6">
        <w:rPr>
          <w:rFonts w:ascii="Times New Roman" w:hAnsi="Times New Roman" w:cs="Times New Roman"/>
          <w:sz w:val="24"/>
          <w:szCs w:val="24"/>
        </w:rPr>
        <w:t>figures</w:t>
      </w:r>
      <w:r w:rsidR="00E12458">
        <w:rPr>
          <w:rFonts w:ascii="Times New Roman" w:hAnsi="Times New Roman" w:cs="Times New Roman"/>
          <w:sz w:val="24"/>
          <w:szCs w:val="24"/>
        </w:rPr>
        <w:t>. These points are explained further i</w:t>
      </w:r>
      <w:r w:rsidR="00437571">
        <w:rPr>
          <w:rFonts w:ascii="Times New Roman" w:hAnsi="Times New Roman" w:cs="Times New Roman"/>
          <w:sz w:val="24"/>
          <w:szCs w:val="24"/>
        </w:rPr>
        <w:t xml:space="preserve">n the </w:t>
      </w:r>
      <w:r w:rsidR="00437571" w:rsidRPr="00142C4E">
        <w:rPr>
          <w:rFonts w:ascii="Times New Roman" w:hAnsi="Times New Roman" w:cs="Times New Roman"/>
          <w:b/>
          <w:sz w:val="24"/>
          <w:szCs w:val="24"/>
        </w:rPr>
        <w:t>Appendix</w:t>
      </w:r>
      <w:r w:rsidR="00B430AB">
        <w:rPr>
          <w:rFonts w:ascii="Times New Roman" w:hAnsi="Times New Roman" w:cs="Times New Roman"/>
          <w:sz w:val="24"/>
          <w:szCs w:val="24"/>
        </w:rPr>
        <w:t>.</w:t>
      </w:r>
      <w:r w:rsidR="00437571">
        <w:rPr>
          <w:rFonts w:ascii="Times New Roman" w:hAnsi="Times New Roman" w:cs="Times New Roman"/>
          <w:sz w:val="24"/>
          <w:szCs w:val="24"/>
        </w:rPr>
        <w:t xml:space="preserve"> Because of these limitations to the data, </w:t>
      </w:r>
      <w:r w:rsidR="00991E57">
        <w:rPr>
          <w:rFonts w:ascii="Times New Roman" w:hAnsi="Times New Roman" w:cs="Times New Roman"/>
          <w:sz w:val="24"/>
          <w:szCs w:val="24"/>
        </w:rPr>
        <w:t xml:space="preserve">the </w:t>
      </w:r>
      <w:r w:rsidR="00437571">
        <w:rPr>
          <w:rFonts w:ascii="Times New Roman" w:hAnsi="Times New Roman" w:cs="Times New Roman"/>
          <w:sz w:val="24"/>
          <w:szCs w:val="24"/>
        </w:rPr>
        <w:t xml:space="preserve">results </w:t>
      </w:r>
      <w:r w:rsidR="00991E57">
        <w:rPr>
          <w:rFonts w:ascii="Times New Roman" w:hAnsi="Times New Roman" w:cs="Times New Roman"/>
          <w:sz w:val="24"/>
          <w:szCs w:val="24"/>
        </w:rPr>
        <w:t>given here are for quarters</w:t>
      </w:r>
      <w:r w:rsidR="003737C5">
        <w:rPr>
          <w:rFonts w:ascii="Times New Roman" w:hAnsi="Times New Roman" w:cs="Times New Roman"/>
          <w:sz w:val="24"/>
          <w:szCs w:val="24"/>
        </w:rPr>
        <w:t>, not months,</w:t>
      </w:r>
      <w:r w:rsidR="00991E57">
        <w:rPr>
          <w:rFonts w:ascii="Times New Roman" w:hAnsi="Times New Roman" w:cs="Times New Roman"/>
          <w:sz w:val="24"/>
          <w:szCs w:val="24"/>
        </w:rPr>
        <w:t xml:space="preserve"> and </w:t>
      </w:r>
      <w:r w:rsidR="00437571">
        <w:rPr>
          <w:rFonts w:ascii="Times New Roman" w:hAnsi="Times New Roman" w:cs="Times New Roman"/>
          <w:sz w:val="24"/>
          <w:szCs w:val="24"/>
        </w:rPr>
        <w:t xml:space="preserve">individual Jobcentres are not </w:t>
      </w:r>
      <w:r w:rsidR="00991E57">
        <w:rPr>
          <w:rFonts w:ascii="Times New Roman" w:hAnsi="Times New Roman" w:cs="Times New Roman"/>
          <w:sz w:val="24"/>
          <w:szCs w:val="24"/>
        </w:rPr>
        <w:t>shown.</w:t>
      </w:r>
    </w:p>
    <w:p w:rsidR="00491344" w:rsidRDefault="0024325E" w:rsidP="0024325E">
      <w:pPr>
        <w:rPr>
          <w:rFonts w:ascii="Times New Roman" w:hAnsi="Times New Roman" w:cs="Times New Roman"/>
          <w:sz w:val="24"/>
          <w:szCs w:val="24"/>
        </w:rPr>
      </w:pPr>
      <w:r w:rsidRPr="0024325E">
        <w:rPr>
          <w:rFonts w:ascii="Times New Roman" w:hAnsi="Times New Roman" w:cs="Times New Roman"/>
          <w:sz w:val="24"/>
          <w:szCs w:val="24"/>
        </w:rPr>
        <w:t xml:space="preserve"> </w:t>
      </w:r>
    </w:p>
    <w:p w:rsidR="00AB1390" w:rsidRDefault="00B544AF" w:rsidP="0024325E">
      <w:pPr>
        <w:rPr>
          <w:rFonts w:ascii="Times New Roman" w:hAnsi="Times New Roman" w:cs="Times New Roman"/>
          <w:sz w:val="24"/>
          <w:szCs w:val="24"/>
        </w:rPr>
      </w:pPr>
      <w:r>
        <w:rPr>
          <w:rFonts w:ascii="Times New Roman" w:hAnsi="Times New Roman" w:cs="Times New Roman"/>
          <w:sz w:val="24"/>
          <w:szCs w:val="24"/>
        </w:rPr>
        <w:t>16</w:t>
      </w:r>
      <w:r w:rsidR="00AB1390">
        <w:rPr>
          <w:rFonts w:ascii="Times New Roman" w:hAnsi="Times New Roman" w:cs="Times New Roman"/>
          <w:sz w:val="24"/>
          <w:szCs w:val="24"/>
        </w:rPr>
        <w:t xml:space="preserve">. </w:t>
      </w:r>
      <w:r w:rsidR="00203E80">
        <w:rPr>
          <w:rFonts w:ascii="Times New Roman" w:hAnsi="Times New Roman" w:cs="Times New Roman"/>
          <w:sz w:val="24"/>
          <w:szCs w:val="24"/>
        </w:rPr>
        <w:t xml:space="preserve">The results show that there is a wide range of variation between Jobcentres in the rate of referrals. Looking at the whole period from </w:t>
      </w:r>
      <w:r w:rsidR="00D13D70">
        <w:rPr>
          <w:rFonts w:ascii="Times New Roman" w:hAnsi="Times New Roman" w:cs="Times New Roman"/>
          <w:sz w:val="24"/>
          <w:szCs w:val="24"/>
        </w:rPr>
        <w:t>3</w:t>
      </w:r>
      <w:r w:rsidR="00D13D70" w:rsidRPr="00D13D70">
        <w:rPr>
          <w:rFonts w:ascii="Times New Roman" w:hAnsi="Times New Roman" w:cs="Times New Roman"/>
          <w:sz w:val="24"/>
          <w:szCs w:val="24"/>
          <w:vertAlign w:val="superscript"/>
        </w:rPr>
        <w:t>rd</w:t>
      </w:r>
      <w:r w:rsidR="00D13D70">
        <w:rPr>
          <w:rFonts w:ascii="Times New Roman" w:hAnsi="Times New Roman" w:cs="Times New Roman"/>
          <w:sz w:val="24"/>
          <w:szCs w:val="24"/>
        </w:rPr>
        <w:t xml:space="preserve"> quarter</w:t>
      </w:r>
      <w:r w:rsidR="00203E80">
        <w:rPr>
          <w:rFonts w:ascii="Times New Roman" w:hAnsi="Times New Roman" w:cs="Times New Roman"/>
          <w:sz w:val="24"/>
          <w:szCs w:val="24"/>
        </w:rPr>
        <w:t xml:space="preserve"> 2010 </w:t>
      </w:r>
      <w:r w:rsidR="00D13D70">
        <w:rPr>
          <w:rFonts w:ascii="Times New Roman" w:hAnsi="Times New Roman" w:cs="Times New Roman"/>
          <w:sz w:val="24"/>
          <w:szCs w:val="24"/>
        </w:rPr>
        <w:t xml:space="preserve">(the first complete quarter under the Coalition) </w:t>
      </w:r>
      <w:r w:rsidR="00203E80">
        <w:rPr>
          <w:rFonts w:ascii="Times New Roman" w:hAnsi="Times New Roman" w:cs="Times New Roman"/>
          <w:sz w:val="24"/>
          <w:szCs w:val="24"/>
        </w:rPr>
        <w:t xml:space="preserve">to </w:t>
      </w:r>
      <w:r w:rsidR="00D13D70">
        <w:rPr>
          <w:rFonts w:ascii="Times New Roman" w:hAnsi="Times New Roman" w:cs="Times New Roman"/>
          <w:sz w:val="24"/>
          <w:szCs w:val="24"/>
        </w:rPr>
        <w:t>3</w:t>
      </w:r>
      <w:r w:rsidR="00D13D70" w:rsidRPr="00D13D70">
        <w:rPr>
          <w:rFonts w:ascii="Times New Roman" w:hAnsi="Times New Roman" w:cs="Times New Roman"/>
          <w:sz w:val="24"/>
          <w:szCs w:val="24"/>
          <w:vertAlign w:val="superscript"/>
        </w:rPr>
        <w:t>rd</w:t>
      </w:r>
      <w:r w:rsidR="00D13D70">
        <w:rPr>
          <w:rFonts w:ascii="Times New Roman" w:hAnsi="Times New Roman" w:cs="Times New Roman"/>
          <w:sz w:val="24"/>
          <w:szCs w:val="24"/>
        </w:rPr>
        <w:t xml:space="preserve"> quarter</w:t>
      </w:r>
      <w:r w:rsidR="00203E80">
        <w:rPr>
          <w:rFonts w:ascii="Times New Roman" w:hAnsi="Times New Roman" w:cs="Times New Roman"/>
          <w:sz w:val="24"/>
          <w:szCs w:val="24"/>
        </w:rPr>
        <w:t xml:space="preserve"> 2012 inclusive, out of 715 Jobcentres included in the analysis, there were 69 with an average rate of 12.0 per cent </w:t>
      </w:r>
      <w:r w:rsidR="003737C5">
        <w:rPr>
          <w:rFonts w:ascii="Times New Roman" w:hAnsi="Times New Roman" w:cs="Times New Roman"/>
          <w:sz w:val="24"/>
          <w:szCs w:val="24"/>
        </w:rPr>
        <w:t xml:space="preserve">or more </w:t>
      </w:r>
      <w:r w:rsidR="00203E80">
        <w:rPr>
          <w:rFonts w:ascii="Times New Roman" w:hAnsi="Times New Roman" w:cs="Times New Roman"/>
          <w:sz w:val="24"/>
          <w:szCs w:val="24"/>
        </w:rPr>
        <w:t>of the stock of claimant</w:t>
      </w:r>
      <w:r w:rsidR="003675F3">
        <w:rPr>
          <w:rFonts w:ascii="Times New Roman" w:hAnsi="Times New Roman" w:cs="Times New Roman"/>
          <w:sz w:val="24"/>
          <w:szCs w:val="24"/>
        </w:rPr>
        <w:t>s</w:t>
      </w:r>
      <w:r w:rsidR="00203E80">
        <w:rPr>
          <w:rFonts w:ascii="Times New Roman" w:hAnsi="Times New Roman" w:cs="Times New Roman"/>
          <w:sz w:val="24"/>
          <w:szCs w:val="24"/>
        </w:rPr>
        <w:t xml:space="preserve"> per month, and 32 with 6.0 per cent or fewer. </w:t>
      </w:r>
      <w:r w:rsidR="003737C5">
        <w:rPr>
          <w:rFonts w:ascii="Times New Roman" w:hAnsi="Times New Roman" w:cs="Times New Roman"/>
          <w:sz w:val="24"/>
          <w:szCs w:val="24"/>
        </w:rPr>
        <w:t>T</w:t>
      </w:r>
      <w:r w:rsidR="003675F3">
        <w:rPr>
          <w:rFonts w:ascii="Times New Roman" w:hAnsi="Times New Roman" w:cs="Times New Roman"/>
          <w:sz w:val="24"/>
          <w:szCs w:val="24"/>
        </w:rPr>
        <w:t xml:space="preserve">he range of variation in actual sanctions/disallowances was narrower, with 72 Jobcentres having a rate of 6.0 per cent per month </w:t>
      </w:r>
      <w:r w:rsidR="003737C5">
        <w:rPr>
          <w:rFonts w:ascii="Times New Roman" w:hAnsi="Times New Roman" w:cs="Times New Roman"/>
          <w:sz w:val="24"/>
          <w:szCs w:val="24"/>
        </w:rPr>
        <w:t xml:space="preserve">or more </w:t>
      </w:r>
      <w:r w:rsidR="003675F3">
        <w:rPr>
          <w:rFonts w:ascii="Times New Roman" w:hAnsi="Times New Roman" w:cs="Times New Roman"/>
          <w:sz w:val="24"/>
          <w:szCs w:val="24"/>
        </w:rPr>
        <w:t>and 62 with 3.0 per cent or fewer.</w:t>
      </w:r>
      <w:r w:rsidR="00CE2F80">
        <w:rPr>
          <w:rFonts w:ascii="Times New Roman" w:hAnsi="Times New Roman" w:cs="Times New Roman"/>
          <w:sz w:val="24"/>
          <w:szCs w:val="24"/>
        </w:rPr>
        <w:t xml:space="preserve"> </w:t>
      </w:r>
    </w:p>
    <w:p w:rsidR="003675F3" w:rsidRDefault="003675F3" w:rsidP="0024325E">
      <w:pPr>
        <w:rPr>
          <w:rFonts w:ascii="Times New Roman" w:hAnsi="Times New Roman" w:cs="Times New Roman"/>
          <w:sz w:val="24"/>
          <w:szCs w:val="24"/>
        </w:rPr>
      </w:pPr>
    </w:p>
    <w:p w:rsidR="003675F3" w:rsidRDefault="00B544AF" w:rsidP="00632402">
      <w:pPr>
        <w:rPr>
          <w:rFonts w:ascii="Times New Roman" w:hAnsi="Times New Roman" w:cs="Times New Roman"/>
          <w:sz w:val="24"/>
          <w:szCs w:val="24"/>
        </w:rPr>
      </w:pPr>
      <w:r>
        <w:rPr>
          <w:rFonts w:ascii="Times New Roman" w:hAnsi="Times New Roman" w:cs="Times New Roman"/>
          <w:sz w:val="24"/>
          <w:szCs w:val="24"/>
        </w:rPr>
        <w:t>17</w:t>
      </w:r>
      <w:r w:rsidR="003675F3">
        <w:rPr>
          <w:rFonts w:ascii="Times New Roman" w:hAnsi="Times New Roman" w:cs="Times New Roman"/>
          <w:sz w:val="24"/>
          <w:szCs w:val="24"/>
        </w:rPr>
        <w:t xml:space="preserve">. </w:t>
      </w:r>
      <w:r w:rsidR="00632402" w:rsidRPr="00632402">
        <w:rPr>
          <w:rFonts w:ascii="Times New Roman" w:hAnsi="Times New Roman" w:cs="Times New Roman"/>
          <w:sz w:val="24"/>
          <w:szCs w:val="24"/>
        </w:rPr>
        <w:t xml:space="preserve">Neil </w:t>
      </w:r>
      <w:proofErr w:type="spellStart"/>
      <w:r w:rsidR="00632402" w:rsidRPr="00632402">
        <w:rPr>
          <w:rFonts w:ascii="Times New Roman" w:hAnsi="Times New Roman" w:cs="Times New Roman"/>
          <w:sz w:val="24"/>
          <w:szCs w:val="24"/>
        </w:rPr>
        <w:t>Couling</w:t>
      </w:r>
      <w:proofErr w:type="spellEnd"/>
      <w:r w:rsidR="00632402" w:rsidRPr="00632402">
        <w:rPr>
          <w:rFonts w:ascii="Times New Roman" w:hAnsi="Times New Roman" w:cs="Times New Roman"/>
          <w:sz w:val="24"/>
          <w:szCs w:val="24"/>
        </w:rPr>
        <w:t>,</w:t>
      </w:r>
      <w:r w:rsidR="00632402">
        <w:rPr>
          <w:rFonts w:ascii="Times New Roman" w:hAnsi="Times New Roman" w:cs="Times New Roman"/>
          <w:sz w:val="24"/>
          <w:szCs w:val="24"/>
        </w:rPr>
        <w:t xml:space="preserve"> DWP’s </w:t>
      </w:r>
      <w:r w:rsidR="00632402" w:rsidRPr="00632402">
        <w:rPr>
          <w:rFonts w:ascii="Times New Roman" w:hAnsi="Times New Roman" w:cs="Times New Roman"/>
          <w:sz w:val="24"/>
          <w:szCs w:val="24"/>
        </w:rPr>
        <w:t xml:space="preserve">Work Services Director, </w:t>
      </w:r>
      <w:r w:rsidR="00632402">
        <w:rPr>
          <w:rFonts w:ascii="Times New Roman" w:hAnsi="Times New Roman" w:cs="Times New Roman"/>
          <w:sz w:val="24"/>
          <w:szCs w:val="24"/>
        </w:rPr>
        <w:t xml:space="preserve">stated in May 2013 </w:t>
      </w:r>
      <w:r w:rsidR="005A6DAD">
        <w:rPr>
          <w:rFonts w:ascii="Times New Roman" w:hAnsi="Times New Roman" w:cs="Times New Roman"/>
          <w:sz w:val="24"/>
          <w:szCs w:val="24"/>
        </w:rPr>
        <w:t>(</w:t>
      </w:r>
      <w:proofErr w:type="spellStart"/>
      <w:r w:rsidR="005A6DAD">
        <w:rPr>
          <w:rFonts w:ascii="Times New Roman" w:hAnsi="Times New Roman" w:cs="Times New Roman"/>
          <w:sz w:val="24"/>
          <w:szCs w:val="24"/>
        </w:rPr>
        <w:t>Couling</w:t>
      </w:r>
      <w:proofErr w:type="spellEnd"/>
      <w:r w:rsidR="005A6DAD">
        <w:rPr>
          <w:rFonts w:ascii="Times New Roman" w:hAnsi="Times New Roman" w:cs="Times New Roman"/>
          <w:sz w:val="24"/>
          <w:szCs w:val="24"/>
        </w:rPr>
        <w:t xml:space="preserve"> 2013</w:t>
      </w:r>
      <w:r w:rsidR="00D220DB">
        <w:rPr>
          <w:rFonts w:ascii="Times New Roman" w:hAnsi="Times New Roman" w:cs="Times New Roman"/>
          <w:sz w:val="24"/>
          <w:szCs w:val="24"/>
        </w:rPr>
        <w:t xml:space="preserve">, </w:t>
      </w:r>
      <w:proofErr w:type="spellStart"/>
      <w:r w:rsidR="00D220DB">
        <w:rPr>
          <w:rFonts w:ascii="Times New Roman" w:hAnsi="Times New Roman" w:cs="Times New Roman"/>
          <w:sz w:val="24"/>
          <w:szCs w:val="24"/>
        </w:rPr>
        <w:t>paras</w:t>
      </w:r>
      <w:proofErr w:type="spellEnd"/>
      <w:r w:rsidR="00D220DB">
        <w:rPr>
          <w:rFonts w:ascii="Times New Roman" w:hAnsi="Times New Roman" w:cs="Times New Roman"/>
          <w:sz w:val="24"/>
          <w:szCs w:val="24"/>
        </w:rPr>
        <w:t>. 2.1, 4.2</w:t>
      </w:r>
      <w:r w:rsidR="005A6DAD">
        <w:rPr>
          <w:rFonts w:ascii="Times New Roman" w:hAnsi="Times New Roman" w:cs="Times New Roman"/>
          <w:sz w:val="24"/>
          <w:szCs w:val="24"/>
        </w:rPr>
        <w:t xml:space="preserve">) </w:t>
      </w:r>
      <w:r w:rsidR="00632402">
        <w:rPr>
          <w:rFonts w:ascii="Times New Roman" w:hAnsi="Times New Roman" w:cs="Times New Roman"/>
          <w:sz w:val="24"/>
          <w:szCs w:val="24"/>
        </w:rPr>
        <w:t xml:space="preserve">that internal ‘benchmarks’ </w:t>
      </w:r>
      <w:r w:rsidR="005A2329">
        <w:rPr>
          <w:rFonts w:ascii="Times New Roman" w:hAnsi="Times New Roman" w:cs="Times New Roman"/>
          <w:sz w:val="24"/>
          <w:szCs w:val="24"/>
        </w:rPr>
        <w:t>or targets for sanctions (presumably referrals) were introduced in 1996 and abolished in April 2011</w:t>
      </w:r>
      <w:r w:rsidR="00D220DB">
        <w:rPr>
          <w:rFonts w:ascii="Times New Roman" w:hAnsi="Times New Roman" w:cs="Times New Roman"/>
          <w:sz w:val="24"/>
          <w:szCs w:val="24"/>
        </w:rPr>
        <w:t>, in favour of building a ‘freedom and flexibility approach’</w:t>
      </w:r>
      <w:r w:rsidR="005A2329">
        <w:rPr>
          <w:rFonts w:ascii="Times New Roman" w:hAnsi="Times New Roman" w:cs="Times New Roman"/>
          <w:sz w:val="24"/>
          <w:szCs w:val="24"/>
        </w:rPr>
        <w:t xml:space="preserve">. </w:t>
      </w:r>
      <w:r w:rsidR="00CE2F80">
        <w:rPr>
          <w:rFonts w:ascii="Times New Roman" w:hAnsi="Times New Roman" w:cs="Times New Roman"/>
          <w:sz w:val="24"/>
          <w:szCs w:val="24"/>
        </w:rPr>
        <w:t xml:space="preserve">It might be expected that the range of variability between Jobcentres would increase following the abolition of benchmarks. However, </w:t>
      </w:r>
      <w:r w:rsidR="007D2342" w:rsidRPr="007D2342">
        <w:rPr>
          <w:rFonts w:ascii="Times New Roman" w:hAnsi="Times New Roman" w:cs="Times New Roman"/>
          <w:b/>
          <w:sz w:val="24"/>
          <w:szCs w:val="24"/>
        </w:rPr>
        <w:t xml:space="preserve">Table </w:t>
      </w:r>
      <w:r w:rsidR="007D2342">
        <w:rPr>
          <w:rFonts w:ascii="Times New Roman" w:hAnsi="Times New Roman" w:cs="Times New Roman"/>
          <w:b/>
          <w:sz w:val="24"/>
          <w:szCs w:val="24"/>
        </w:rPr>
        <w:t>3</w:t>
      </w:r>
      <w:r w:rsidR="007D2342">
        <w:rPr>
          <w:rFonts w:ascii="Times New Roman" w:hAnsi="Times New Roman" w:cs="Times New Roman"/>
          <w:sz w:val="24"/>
          <w:szCs w:val="24"/>
        </w:rPr>
        <w:t xml:space="preserve"> and </w:t>
      </w:r>
      <w:r w:rsidR="00CE2F80" w:rsidRPr="00E567BD">
        <w:rPr>
          <w:rFonts w:ascii="Times New Roman" w:hAnsi="Times New Roman" w:cs="Times New Roman"/>
          <w:b/>
          <w:sz w:val="24"/>
          <w:szCs w:val="24"/>
        </w:rPr>
        <w:t>Figure 1</w:t>
      </w:r>
      <w:r w:rsidR="00CE2F80">
        <w:rPr>
          <w:rFonts w:ascii="Times New Roman" w:hAnsi="Times New Roman" w:cs="Times New Roman"/>
          <w:sz w:val="24"/>
          <w:szCs w:val="24"/>
        </w:rPr>
        <w:t xml:space="preserve"> </w:t>
      </w:r>
      <w:r w:rsidR="00F0653C">
        <w:rPr>
          <w:rFonts w:ascii="Times New Roman" w:hAnsi="Times New Roman" w:cs="Times New Roman"/>
          <w:sz w:val="24"/>
          <w:szCs w:val="24"/>
        </w:rPr>
        <w:t xml:space="preserve">suggests that </w:t>
      </w:r>
      <w:r w:rsidR="00CE2F80">
        <w:rPr>
          <w:rFonts w:ascii="Times New Roman" w:hAnsi="Times New Roman" w:cs="Times New Roman"/>
          <w:sz w:val="24"/>
          <w:szCs w:val="24"/>
        </w:rPr>
        <w:t xml:space="preserve">this </w:t>
      </w:r>
      <w:r w:rsidR="00B40BAC">
        <w:rPr>
          <w:rFonts w:ascii="Times New Roman" w:hAnsi="Times New Roman" w:cs="Times New Roman"/>
          <w:sz w:val="24"/>
          <w:szCs w:val="24"/>
        </w:rPr>
        <w:t xml:space="preserve">has </w:t>
      </w:r>
      <w:r w:rsidR="00F0653C">
        <w:rPr>
          <w:rFonts w:ascii="Times New Roman" w:hAnsi="Times New Roman" w:cs="Times New Roman"/>
          <w:sz w:val="24"/>
          <w:szCs w:val="24"/>
        </w:rPr>
        <w:t xml:space="preserve">not </w:t>
      </w:r>
      <w:r w:rsidR="00CE2F80">
        <w:rPr>
          <w:rFonts w:ascii="Times New Roman" w:hAnsi="Times New Roman" w:cs="Times New Roman"/>
          <w:sz w:val="24"/>
          <w:szCs w:val="24"/>
        </w:rPr>
        <w:t>occur</w:t>
      </w:r>
      <w:r w:rsidR="00B40BAC">
        <w:rPr>
          <w:rFonts w:ascii="Times New Roman" w:hAnsi="Times New Roman" w:cs="Times New Roman"/>
          <w:sz w:val="24"/>
          <w:szCs w:val="24"/>
        </w:rPr>
        <w:t>red</w:t>
      </w:r>
      <w:r w:rsidR="00CE2F80">
        <w:rPr>
          <w:rFonts w:ascii="Times New Roman" w:hAnsi="Times New Roman" w:cs="Times New Roman"/>
          <w:sz w:val="24"/>
          <w:szCs w:val="24"/>
        </w:rPr>
        <w:t xml:space="preserve">. </w:t>
      </w:r>
      <w:r w:rsidR="00B40BAC">
        <w:rPr>
          <w:rFonts w:ascii="Times New Roman" w:hAnsi="Times New Roman" w:cs="Times New Roman"/>
          <w:sz w:val="24"/>
          <w:szCs w:val="24"/>
        </w:rPr>
        <w:t xml:space="preserve">The standard deviation, which is affected by the absolute level of referrals, </w:t>
      </w:r>
      <w:r w:rsidR="009B57CE">
        <w:rPr>
          <w:rFonts w:ascii="Times New Roman" w:hAnsi="Times New Roman" w:cs="Times New Roman"/>
          <w:sz w:val="24"/>
          <w:szCs w:val="24"/>
        </w:rPr>
        <w:t xml:space="preserve">has continued to rise and fall in line with the average, but </w:t>
      </w:r>
      <w:r w:rsidR="004E14E6">
        <w:rPr>
          <w:rFonts w:ascii="Times New Roman" w:hAnsi="Times New Roman" w:cs="Times New Roman"/>
          <w:sz w:val="24"/>
          <w:szCs w:val="24"/>
        </w:rPr>
        <w:t>in the latest quarter</w:t>
      </w:r>
      <w:r w:rsidR="00B40BAC">
        <w:rPr>
          <w:rFonts w:ascii="Times New Roman" w:hAnsi="Times New Roman" w:cs="Times New Roman"/>
          <w:sz w:val="24"/>
          <w:szCs w:val="24"/>
        </w:rPr>
        <w:t xml:space="preserve"> </w:t>
      </w:r>
      <w:r w:rsidR="009B57CE">
        <w:rPr>
          <w:rFonts w:ascii="Times New Roman" w:hAnsi="Times New Roman" w:cs="Times New Roman"/>
          <w:sz w:val="24"/>
          <w:szCs w:val="24"/>
        </w:rPr>
        <w:t xml:space="preserve">remained below </w:t>
      </w:r>
      <w:r w:rsidR="00B40BAC">
        <w:rPr>
          <w:rFonts w:ascii="Times New Roman" w:hAnsi="Times New Roman" w:cs="Times New Roman"/>
          <w:sz w:val="24"/>
          <w:szCs w:val="24"/>
        </w:rPr>
        <w:t>the level of the 2</w:t>
      </w:r>
      <w:r w:rsidR="00B40BAC" w:rsidRPr="00B40BAC">
        <w:rPr>
          <w:rFonts w:ascii="Times New Roman" w:hAnsi="Times New Roman" w:cs="Times New Roman"/>
          <w:sz w:val="24"/>
          <w:szCs w:val="24"/>
          <w:vertAlign w:val="superscript"/>
        </w:rPr>
        <w:t>nd</w:t>
      </w:r>
      <w:r w:rsidR="00B40BAC">
        <w:rPr>
          <w:rFonts w:ascii="Times New Roman" w:hAnsi="Times New Roman" w:cs="Times New Roman"/>
          <w:sz w:val="24"/>
          <w:szCs w:val="24"/>
        </w:rPr>
        <w:t xml:space="preserve"> quarter 2008</w:t>
      </w:r>
      <w:r w:rsidR="004E14E6">
        <w:rPr>
          <w:rFonts w:ascii="Times New Roman" w:hAnsi="Times New Roman" w:cs="Times New Roman"/>
          <w:sz w:val="24"/>
          <w:szCs w:val="24"/>
        </w:rPr>
        <w:t>, when the average was lower</w:t>
      </w:r>
      <w:r w:rsidR="00B40BAC">
        <w:rPr>
          <w:rFonts w:ascii="Times New Roman" w:hAnsi="Times New Roman" w:cs="Times New Roman"/>
          <w:sz w:val="24"/>
          <w:szCs w:val="24"/>
        </w:rPr>
        <w:t xml:space="preserve">. </w:t>
      </w:r>
      <w:r w:rsidR="00CE2F80">
        <w:rPr>
          <w:rFonts w:ascii="Times New Roman" w:hAnsi="Times New Roman" w:cs="Times New Roman"/>
          <w:sz w:val="24"/>
          <w:szCs w:val="24"/>
        </w:rPr>
        <w:t xml:space="preserve">The coefficient of variation (standard deviation divided by the mean), which is a </w:t>
      </w:r>
      <w:r w:rsidR="00B40BAC">
        <w:rPr>
          <w:rFonts w:ascii="Times New Roman" w:hAnsi="Times New Roman" w:cs="Times New Roman"/>
          <w:sz w:val="24"/>
          <w:szCs w:val="24"/>
        </w:rPr>
        <w:t xml:space="preserve">more appropriate </w:t>
      </w:r>
      <w:r w:rsidR="00CE2F80">
        <w:rPr>
          <w:rFonts w:ascii="Times New Roman" w:hAnsi="Times New Roman" w:cs="Times New Roman"/>
          <w:sz w:val="24"/>
          <w:szCs w:val="24"/>
        </w:rPr>
        <w:t xml:space="preserve">measure in the present context, </w:t>
      </w:r>
      <w:r w:rsidR="00B40BAC">
        <w:rPr>
          <w:rFonts w:ascii="Times New Roman" w:hAnsi="Times New Roman" w:cs="Times New Roman"/>
          <w:sz w:val="24"/>
          <w:szCs w:val="24"/>
        </w:rPr>
        <w:t>ro</w:t>
      </w:r>
      <w:r w:rsidR="00CE2F80">
        <w:rPr>
          <w:rFonts w:ascii="Times New Roman" w:hAnsi="Times New Roman" w:cs="Times New Roman"/>
          <w:sz w:val="24"/>
          <w:szCs w:val="24"/>
        </w:rPr>
        <w:t xml:space="preserve">se slightly in 2011-2 and 2011-3 but since then has fallen back </w:t>
      </w:r>
      <w:r w:rsidR="006163A4">
        <w:rPr>
          <w:rFonts w:ascii="Times New Roman" w:hAnsi="Times New Roman" w:cs="Times New Roman"/>
          <w:sz w:val="24"/>
          <w:szCs w:val="24"/>
        </w:rPr>
        <w:t>clearly</w:t>
      </w:r>
      <w:r w:rsidR="00CE2F80">
        <w:rPr>
          <w:rFonts w:ascii="Times New Roman" w:hAnsi="Times New Roman" w:cs="Times New Roman"/>
          <w:sz w:val="24"/>
          <w:szCs w:val="24"/>
        </w:rPr>
        <w:t xml:space="preserve"> below the level of 2008-2 to 2010</w:t>
      </w:r>
      <w:r w:rsidR="006163A4">
        <w:rPr>
          <w:rFonts w:ascii="Times New Roman" w:hAnsi="Times New Roman" w:cs="Times New Roman"/>
          <w:sz w:val="24"/>
          <w:szCs w:val="24"/>
        </w:rPr>
        <w:t>-1</w:t>
      </w:r>
      <w:r w:rsidR="00CE2F80">
        <w:rPr>
          <w:rFonts w:ascii="Times New Roman" w:hAnsi="Times New Roman" w:cs="Times New Roman"/>
          <w:sz w:val="24"/>
          <w:szCs w:val="24"/>
        </w:rPr>
        <w:t xml:space="preserve">. </w:t>
      </w:r>
      <w:r w:rsidR="00B40BAC">
        <w:rPr>
          <w:rFonts w:ascii="Times New Roman" w:hAnsi="Times New Roman" w:cs="Times New Roman"/>
          <w:sz w:val="24"/>
          <w:szCs w:val="24"/>
        </w:rPr>
        <w:t xml:space="preserve">Neither standard deviation nor coefficient of variation will be much affected by the limitations of the data. </w:t>
      </w:r>
      <w:r w:rsidR="00932A7D">
        <w:rPr>
          <w:rFonts w:ascii="Times New Roman" w:hAnsi="Times New Roman" w:cs="Times New Roman"/>
          <w:sz w:val="24"/>
          <w:szCs w:val="24"/>
        </w:rPr>
        <w:t xml:space="preserve">Neil </w:t>
      </w:r>
      <w:proofErr w:type="spellStart"/>
      <w:r w:rsidR="00932A7D">
        <w:rPr>
          <w:rFonts w:ascii="Times New Roman" w:hAnsi="Times New Roman" w:cs="Times New Roman"/>
          <w:sz w:val="24"/>
          <w:szCs w:val="24"/>
        </w:rPr>
        <w:t>Couling</w:t>
      </w:r>
      <w:proofErr w:type="spellEnd"/>
      <w:r w:rsidR="00932A7D">
        <w:rPr>
          <w:rFonts w:ascii="Times New Roman" w:hAnsi="Times New Roman" w:cs="Times New Roman"/>
          <w:sz w:val="24"/>
          <w:szCs w:val="24"/>
        </w:rPr>
        <w:t xml:space="preserve"> (par. 3.5) </w:t>
      </w:r>
      <w:r w:rsidR="00E567BD">
        <w:rPr>
          <w:rFonts w:ascii="Times New Roman" w:hAnsi="Times New Roman" w:cs="Times New Roman"/>
          <w:sz w:val="24"/>
          <w:szCs w:val="24"/>
        </w:rPr>
        <w:t>also said</w:t>
      </w:r>
      <w:r w:rsidR="00932A7D">
        <w:rPr>
          <w:rFonts w:ascii="Times New Roman" w:hAnsi="Times New Roman" w:cs="Times New Roman"/>
          <w:sz w:val="24"/>
          <w:szCs w:val="24"/>
        </w:rPr>
        <w:t xml:space="preserve"> that ‘</w:t>
      </w:r>
      <w:r w:rsidR="00932A7D" w:rsidRPr="00932A7D">
        <w:rPr>
          <w:rFonts w:ascii="Times New Roman" w:hAnsi="Times New Roman" w:cs="Times New Roman"/>
          <w:sz w:val="24"/>
          <w:szCs w:val="24"/>
        </w:rPr>
        <w:t>Looking at the data from London and the Homes Counties and across the UK it would appear that the response to the removal of sanctions benchmarks in 2011 was a marked reduction in sanctioning activity</w:t>
      </w:r>
      <w:r w:rsidR="00BC6B02">
        <w:rPr>
          <w:rFonts w:ascii="Times New Roman" w:hAnsi="Times New Roman" w:cs="Times New Roman"/>
          <w:sz w:val="24"/>
          <w:szCs w:val="24"/>
        </w:rPr>
        <w:t>’</w:t>
      </w:r>
      <w:r w:rsidR="00932A7D">
        <w:rPr>
          <w:rFonts w:ascii="Times New Roman" w:hAnsi="Times New Roman" w:cs="Times New Roman"/>
          <w:sz w:val="24"/>
          <w:szCs w:val="24"/>
        </w:rPr>
        <w:t>.</w:t>
      </w:r>
      <w:r w:rsidR="00E567BD">
        <w:rPr>
          <w:rFonts w:ascii="Times New Roman" w:hAnsi="Times New Roman" w:cs="Times New Roman"/>
          <w:sz w:val="24"/>
          <w:szCs w:val="24"/>
        </w:rPr>
        <w:t xml:space="preserve"> Th</w:t>
      </w:r>
      <w:r w:rsidR="00D80E0F">
        <w:rPr>
          <w:rFonts w:ascii="Times New Roman" w:hAnsi="Times New Roman" w:cs="Times New Roman"/>
          <w:sz w:val="24"/>
          <w:szCs w:val="24"/>
        </w:rPr>
        <w:t>e decline in the two quarters following April 2011 was only in relation to the exceptionally high levels of the previous three quarters, and in any case t</w:t>
      </w:r>
      <w:r w:rsidR="00E567BD">
        <w:rPr>
          <w:rFonts w:ascii="Times New Roman" w:hAnsi="Times New Roman" w:cs="Times New Roman"/>
          <w:sz w:val="24"/>
          <w:szCs w:val="24"/>
        </w:rPr>
        <w:t xml:space="preserve">otal sanctions and disallowances have </w:t>
      </w:r>
      <w:r w:rsidR="00D80E0F">
        <w:rPr>
          <w:rFonts w:ascii="Times New Roman" w:hAnsi="Times New Roman" w:cs="Times New Roman"/>
          <w:sz w:val="24"/>
          <w:szCs w:val="24"/>
        </w:rPr>
        <w:t xml:space="preserve">since </w:t>
      </w:r>
      <w:r w:rsidR="00E567BD">
        <w:rPr>
          <w:rFonts w:ascii="Times New Roman" w:hAnsi="Times New Roman" w:cs="Times New Roman"/>
          <w:sz w:val="24"/>
          <w:szCs w:val="24"/>
        </w:rPr>
        <w:t xml:space="preserve">risen again, to their highest level since </w:t>
      </w:r>
      <w:r w:rsidR="00467090">
        <w:rPr>
          <w:rFonts w:ascii="Times New Roman" w:hAnsi="Times New Roman" w:cs="Times New Roman"/>
          <w:sz w:val="24"/>
          <w:szCs w:val="24"/>
        </w:rPr>
        <w:t xml:space="preserve">the current statistical series began in </w:t>
      </w:r>
      <w:r w:rsidR="00E567BD">
        <w:rPr>
          <w:rFonts w:ascii="Times New Roman" w:hAnsi="Times New Roman" w:cs="Times New Roman"/>
          <w:sz w:val="24"/>
          <w:szCs w:val="24"/>
        </w:rPr>
        <w:t xml:space="preserve">2000. It appears </w:t>
      </w:r>
      <w:r w:rsidR="00C03917">
        <w:rPr>
          <w:rFonts w:ascii="Times New Roman" w:hAnsi="Times New Roman" w:cs="Times New Roman"/>
          <w:sz w:val="24"/>
          <w:szCs w:val="24"/>
        </w:rPr>
        <w:t xml:space="preserve">from this and from other evidence reported in the media </w:t>
      </w:r>
      <w:r w:rsidR="00E567BD">
        <w:rPr>
          <w:rFonts w:ascii="Times New Roman" w:hAnsi="Times New Roman" w:cs="Times New Roman"/>
          <w:sz w:val="24"/>
          <w:szCs w:val="24"/>
        </w:rPr>
        <w:t xml:space="preserve">that while there may be no numerical ‘targets’, there is pressure on staff to refer more claimants for sanction/disallowance. </w:t>
      </w:r>
    </w:p>
    <w:p w:rsidR="00DD1E3F" w:rsidRDefault="00DD1E3F" w:rsidP="00632402">
      <w:pPr>
        <w:rPr>
          <w:rFonts w:ascii="Times New Roman" w:hAnsi="Times New Roman" w:cs="Times New Roman"/>
          <w:sz w:val="24"/>
          <w:szCs w:val="24"/>
        </w:rPr>
      </w:pPr>
    </w:p>
    <w:p w:rsidR="00DD1E3F" w:rsidRDefault="00B544AF" w:rsidP="00632402">
      <w:pPr>
        <w:rPr>
          <w:rFonts w:ascii="Times New Roman" w:hAnsi="Times New Roman" w:cs="Times New Roman"/>
          <w:sz w:val="24"/>
          <w:szCs w:val="24"/>
        </w:rPr>
      </w:pPr>
      <w:r>
        <w:rPr>
          <w:rFonts w:ascii="Times New Roman" w:hAnsi="Times New Roman" w:cs="Times New Roman"/>
          <w:sz w:val="24"/>
          <w:szCs w:val="24"/>
        </w:rPr>
        <w:t>18</w:t>
      </w:r>
      <w:r w:rsidR="00DD1E3F">
        <w:rPr>
          <w:rFonts w:ascii="Times New Roman" w:hAnsi="Times New Roman" w:cs="Times New Roman"/>
          <w:sz w:val="24"/>
          <w:szCs w:val="24"/>
        </w:rPr>
        <w:t xml:space="preserve">. Because different types of sanction/disallowance relate differently to differing labour market conditions, as </w:t>
      </w:r>
      <w:r w:rsidR="00CE06B8">
        <w:rPr>
          <w:rFonts w:ascii="Times New Roman" w:hAnsi="Times New Roman" w:cs="Times New Roman"/>
          <w:sz w:val="24"/>
          <w:szCs w:val="24"/>
        </w:rPr>
        <w:t>discussed</w:t>
      </w:r>
      <w:r w:rsidR="00DD1E3F">
        <w:rPr>
          <w:rFonts w:ascii="Times New Roman" w:hAnsi="Times New Roman" w:cs="Times New Roman"/>
          <w:sz w:val="24"/>
          <w:szCs w:val="24"/>
        </w:rPr>
        <w:t xml:space="preserve"> above, little more can usefully be said </w:t>
      </w:r>
      <w:r w:rsidR="00CE06B8">
        <w:rPr>
          <w:rFonts w:ascii="Times New Roman" w:hAnsi="Times New Roman" w:cs="Times New Roman"/>
          <w:sz w:val="24"/>
          <w:szCs w:val="24"/>
        </w:rPr>
        <w:t xml:space="preserve">about variations between local offices </w:t>
      </w:r>
      <w:r w:rsidR="00DD1E3F">
        <w:rPr>
          <w:rFonts w:ascii="Times New Roman" w:hAnsi="Times New Roman" w:cs="Times New Roman"/>
          <w:sz w:val="24"/>
          <w:szCs w:val="24"/>
        </w:rPr>
        <w:t xml:space="preserve">unless or until the DWP releases </w:t>
      </w:r>
      <w:r w:rsidR="004E14E6">
        <w:rPr>
          <w:rFonts w:ascii="Times New Roman" w:hAnsi="Times New Roman" w:cs="Times New Roman"/>
          <w:sz w:val="24"/>
          <w:szCs w:val="24"/>
        </w:rPr>
        <w:t xml:space="preserve">local office </w:t>
      </w:r>
      <w:r w:rsidR="00DD1E3F">
        <w:rPr>
          <w:rFonts w:ascii="Times New Roman" w:hAnsi="Times New Roman" w:cs="Times New Roman"/>
          <w:sz w:val="24"/>
          <w:szCs w:val="24"/>
        </w:rPr>
        <w:t xml:space="preserve">data disaggregated by reason for sanction/disallowance. </w:t>
      </w:r>
    </w:p>
    <w:p w:rsidR="00AB1390" w:rsidRPr="0024325E" w:rsidRDefault="00AB1390" w:rsidP="0024325E">
      <w:pPr>
        <w:rPr>
          <w:rFonts w:ascii="Times New Roman" w:hAnsi="Times New Roman" w:cs="Times New Roman"/>
          <w:sz w:val="24"/>
          <w:szCs w:val="24"/>
        </w:rPr>
      </w:pPr>
    </w:p>
    <w:p w:rsidR="00491344" w:rsidRPr="00491344" w:rsidRDefault="00491344">
      <w:pPr>
        <w:rPr>
          <w:rFonts w:ascii="Times New Roman" w:hAnsi="Times New Roman" w:cs="Times New Roman"/>
          <w:b/>
          <w:sz w:val="24"/>
          <w:szCs w:val="24"/>
        </w:rPr>
      </w:pPr>
      <w:r w:rsidRPr="00491344">
        <w:rPr>
          <w:rFonts w:ascii="Times New Roman" w:hAnsi="Times New Roman" w:cs="Times New Roman"/>
          <w:b/>
          <w:sz w:val="24"/>
          <w:szCs w:val="24"/>
        </w:rPr>
        <w:t>Conclusions</w:t>
      </w:r>
    </w:p>
    <w:p w:rsidR="00491344" w:rsidRDefault="00491344">
      <w:pPr>
        <w:rPr>
          <w:rFonts w:ascii="Times New Roman" w:hAnsi="Times New Roman" w:cs="Times New Roman"/>
          <w:sz w:val="24"/>
          <w:szCs w:val="24"/>
        </w:rPr>
      </w:pPr>
    </w:p>
    <w:p w:rsidR="00C94EB9" w:rsidRDefault="00B544AF">
      <w:pPr>
        <w:rPr>
          <w:rFonts w:ascii="Times New Roman" w:hAnsi="Times New Roman" w:cs="Times New Roman"/>
          <w:sz w:val="24"/>
          <w:szCs w:val="24"/>
        </w:rPr>
      </w:pPr>
      <w:r>
        <w:rPr>
          <w:rFonts w:ascii="Times New Roman" w:hAnsi="Times New Roman" w:cs="Times New Roman"/>
          <w:sz w:val="24"/>
          <w:szCs w:val="24"/>
        </w:rPr>
        <w:t>19</w:t>
      </w:r>
      <w:r w:rsidR="00C94EB9">
        <w:rPr>
          <w:rFonts w:ascii="Times New Roman" w:hAnsi="Times New Roman" w:cs="Times New Roman"/>
          <w:sz w:val="24"/>
          <w:szCs w:val="24"/>
        </w:rPr>
        <w:t xml:space="preserve">. The new analysis presented here shows that different types of sanction/disallowance relate differently to the local unemployment rate. Those related to leaving a job voluntarily or through misconduct, or to neglect to avail or refusal of a job opportunity, occur more often in areas where jobs are plentiful. By contrast, claimants are more often penalised for non-attendance or lateness at interviews, or for non-participation in training or employment </w:t>
      </w:r>
      <w:r w:rsidR="00C94EB9">
        <w:rPr>
          <w:rFonts w:ascii="Times New Roman" w:hAnsi="Times New Roman" w:cs="Times New Roman"/>
          <w:sz w:val="24"/>
          <w:szCs w:val="24"/>
        </w:rPr>
        <w:lastRenderedPageBreak/>
        <w:t>schemes, in areas where jobs are scarce</w:t>
      </w:r>
      <w:r w:rsidR="00467090">
        <w:rPr>
          <w:rFonts w:ascii="Times New Roman" w:hAnsi="Times New Roman" w:cs="Times New Roman"/>
          <w:sz w:val="24"/>
          <w:szCs w:val="24"/>
        </w:rPr>
        <w:t>, although practice in relation to interviews appears to vary widely between local offices</w:t>
      </w:r>
      <w:r w:rsidR="00C94EB9">
        <w:rPr>
          <w:rFonts w:ascii="Times New Roman" w:hAnsi="Times New Roman" w:cs="Times New Roman"/>
          <w:sz w:val="24"/>
          <w:szCs w:val="24"/>
        </w:rPr>
        <w:t xml:space="preserve">. </w:t>
      </w:r>
    </w:p>
    <w:p w:rsidR="00C94EB9" w:rsidRDefault="00C94EB9">
      <w:pPr>
        <w:rPr>
          <w:rFonts w:ascii="Times New Roman" w:hAnsi="Times New Roman" w:cs="Times New Roman"/>
          <w:sz w:val="24"/>
          <w:szCs w:val="24"/>
        </w:rPr>
      </w:pPr>
    </w:p>
    <w:p w:rsidR="00C94EB9" w:rsidRDefault="00C94EB9">
      <w:pPr>
        <w:rPr>
          <w:rFonts w:ascii="Times New Roman" w:hAnsi="Times New Roman" w:cs="Times New Roman"/>
          <w:sz w:val="24"/>
          <w:szCs w:val="24"/>
        </w:rPr>
      </w:pPr>
      <w:r>
        <w:rPr>
          <w:rFonts w:ascii="Times New Roman" w:hAnsi="Times New Roman" w:cs="Times New Roman"/>
          <w:sz w:val="24"/>
          <w:szCs w:val="24"/>
        </w:rPr>
        <w:t>2</w:t>
      </w:r>
      <w:r w:rsidR="00B544AF">
        <w:rPr>
          <w:rFonts w:ascii="Times New Roman" w:hAnsi="Times New Roman" w:cs="Times New Roman"/>
          <w:sz w:val="24"/>
          <w:szCs w:val="24"/>
        </w:rPr>
        <w:t>0</w:t>
      </w:r>
      <w:r>
        <w:rPr>
          <w:rFonts w:ascii="Times New Roman" w:hAnsi="Times New Roman" w:cs="Times New Roman"/>
          <w:sz w:val="24"/>
          <w:szCs w:val="24"/>
        </w:rPr>
        <w:t xml:space="preserve">. The analysis also shows that there is a lot of variability between Jobcentre Plus offices in the overall rate of </w:t>
      </w:r>
      <w:r w:rsidR="004B087B">
        <w:rPr>
          <w:rFonts w:ascii="Times New Roman" w:hAnsi="Times New Roman" w:cs="Times New Roman"/>
          <w:sz w:val="24"/>
          <w:szCs w:val="24"/>
        </w:rPr>
        <w:t xml:space="preserve">referrals for </w:t>
      </w:r>
      <w:r>
        <w:rPr>
          <w:rFonts w:ascii="Times New Roman" w:hAnsi="Times New Roman" w:cs="Times New Roman"/>
          <w:sz w:val="24"/>
          <w:szCs w:val="24"/>
        </w:rPr>
        <w:t xml:space="preserve">sanction/disallowance. However, variability </w:t>
      </w:r>
      <w:r w:rsidR="00B40BAC">
        <w:rPr>
          <w:rFonts w:ascii="Times New Roman" w:hAnsi="Times New Roman" w:cs="Times New Roman"/>
          <w:sz w:val="24"/>
          <w:szCs w:val="24"/>
        </w:rPr>
        <w:t xml:space="preserve">does </w:t>
      </w:r>
      <w:r>
        <w:rPr>
          <w:rFonts w:ascii="Times New Roman" w:hAnsi="Times New Roman" w:cs="Times New Roman"/>
          <w:sz w:val="24"/>
          <w:szCs w:val="24"/>
        </w:rPr>
        <w:t xml:space="preserve">not </w:t>
      </w:r>
      <w:r w:rsidR="00B40BAC">
        <w:rPr>
          <w:rFonts w:ascii="Times New Roman" w:hAnsi="Times New Roman" w:cs="Times New Roman"/>
          <w:sz w:val="24"/>
          <w:szCs w:val="24"/>
        </w:rPr>
        <w:t xml:space="preserve">appear to have </w:t>
      </w:r>
      <w:r>
        <w:rPr>
          <w:rFonts w:ascii="Times New Roman" w:hAnsi="Times New Roman" w:cs="Times New Roman"/>
          <w:sz w:val="24"/>
          <w:szCs w:val="24"/>
        </w:rPr>
        <w:t>increased following the abolition of referral benchmarks in April 2011; instead, the</w:t>
      </w:r>
      <w:r w:rsidR="00C03917">
        <w:rPr>
          <w:rFonts w:ascii="Times New Roman" w:hAnsi="Times New Roman" w:cs="Times New Roman"/>
          <w:sz w:val="24"/>
          <w:szCs w:val="24"/>
        </w:rPr>
        <w:t xml:space="preserve"> average rate of referrals has increased and, taken together with other evidence reported in the media, this suggests</w:t>
      </w:r>
      <w:r>
        <w:rPr>
          <w:rFonts w:ascii="Times New Roman" w:hAnsi="Times New Roman" w:cs="Times New Roman"/>
          <w:sz w:val="24"/>
          <w:szCs w:val="24"/>
        </w:rPr>
        <w:t xml:space="preserve"> general pressure on staff to increase sanction/disallowance referrals. Because of the different behaviour of different types of sanction/disallowance in relation to differing labour market conditions, figures for total sanctions and disallowances are of only limited usefulness</w:t>
      </w:r>
      <w:r w:rsidR="002E3C54">
        <w:rPr>
          <w:rFonts w:ascii="Times New Roman" w:hAnsi="Times New Roman" w:cs="Times New Roman"/>
          <w:sz w:val="24"/>
          <w:szCs w:val="24"/>
        </w:rPr>
        <w:t xml:space="preserve"> and further analysis must await publication of data by individual reason</w:t>
      </w:r>
      <w:r>
        <w:rPr>
          <w:rFonts w:ascii="Times New Roman" w:hAnsi="Times New Roman" w:cs="Times New Roman"/>
          <w:sz w:val="24"/>
          <w:szCs w:val="24"/>
        </w:rPr>
        <w:t>.</w:t>
      </w:r>
    </w:p>
    <w:p w:rsidR="00C94EB9" w:rsidRDefault="00C94EB9">
      <w:pPr>
        <w:rPr>
          <w:rFonts w:ascii="Times New Roman" w:hAnsi="Times New Roman" w:cs="Times New Roman"/>
          <w:sz w:val="24"/>
          <w:szCs w:val="24"/>
        </w:rPr>
      </w:pPr>
    </w:p>
    <w:p w:rsidR="00C94EB9" w:rsidRDefault="00B544AF">
      <w:pPr>
        <w:rPr>
          <w:rFonts w:ascii="Times New Roman" w:hAnsi="Times New Roman" w:cs="Times New Roman"/>
          <w:sz w:val="24"/>
          <w:szCs w:val="24"/>
        </w:rPr>
      </w:pPr>
      <w:r>
        <w:rPr>
          <w:rFonts w:ascii="Times New Roman" w:hAnsi="Times New Roman" w:cs="Times New Roman"/>
          <w:sz w:val="24"/>
          <w:szCs w:val="24"/>
        </w:rPr>
        <w:t>21</w:t>
      </w:r>
      <w:r w:rsidR="00C94EB9">
        <w:rPr>
          <w:rFonts w:ascii="Times New Roman" w:hAnsi="Times New Roman" w:cs="Times New Roman"/>
          <w:sz w:val="24"/>
          <w:szCs w:val="24"/>
        </w:rPr>
        <w:t xml:space="preserve">. The finding that </w:t>
      </w:r>
      <w:r w:rsidR="005769C2">
        <w:rPr>
          <w:rFonts w:ascii="Times New Roman" w:hAnsi="Times New Roman" w:cs="Times New Roman"/>
          <w:sz w:val="24"/>
          <w:szCs w:val="24"/>
        </w:rPr>
        <w:t>disqualifica</w:t>
      </w:r>
      <w:r w:rsidR="00C94EB9">
        <w:rPr>
          <w:rFonts w:ascii="Times New Roman" w:hAnsi="Times New Roman" w:cs="Times New Roman"/>
          <w:sz w:val="24"/>
          <w:szCs w:val="24"/>
        </w:rPr>
        <w:t xml:space="preserve">tions for voluntary leaving/misconduct vary inversely with the rate of unemployment </w:t>
      </w:r>
      <w:r w:rsidR="005769C2">
        <w:rPr>
          <w:rFonts w:ascii="Times New Roman" w:hAnsi="Times New Roman" w:cs="Times New Roman"/>
          <w:sz w:val="24"/>
          <w:szCs w:val="24"/>
        </w:rPr>
        <w:t>across areas as well as over time appears to be new. It casts doubt on the rationale for these disqualifications</w:t>
      </w:r>
      <w:r w:rsidR="00EB6411">
        <w:rPr>
          <w:rFonts w:ascii="Times New Roman" w:hAnsi="Times New Roman" w:cs="Times New Roman"/>
          <w:sz w:val="24"/>
          <w:szCs w:val="24"/>
        </w:rPr>
        <w:t xml:space="preserve"> and particularly for their severity</w:t>
      </w:r>
      <w:r w:rsidR="005769C2">
        <w:rPr>
          <w:rFonts w:ascii="Times New Roman" w:hAnsi="Times New Roman" w:cs="Times New Roman"/>
          <w:sz w:val="24"/>
          <w:szCs w:val="24"/>
        </w:rPr>
        <w:t xml:space="preserve">. It is not clear why the State thinks it has an interest in discouraging the free movement of labour. This does not sit well with the prevailing rhetoric of the </w:t>
      </w:r>
      <w:r w:rsidR="00630805">
        <w:rPr>
          <w:rFonts w:ascii="Times New Roman" w:hAnsi="Times New Roman" w:cs="Times New Roman"/>
          <w:sz w:val="24"/>
          <w:szCs w:val="24"/>
        </w:rPr>
        <w:t>‘</w:t>
      </w:r>
      <w:r w:rsidR="005769C2">
        <w:rPr>
          <w:rFonts w:ascii="Times New Roman" w:hAnsi="Times New Roman" w:cs="Times New Roman"/>
          <w:sz w:val="24"/>
          <w:szCs w:val="24"/>
        </w:rPr>
        <w:t>flexible labour market</w:t>
      </w:r>
      <w:r w:rsidR="00630805">
        <w:rPr>
          <w:rFonts w:ascii="Times New Roman" w:hAnsi="Times New Roman" w:cs="Times New Roman"/>
          <w:sz w:val="24"/>
          <w:szCs w:val="24"/>
        </w:rPr>
        <w:t>’</w:t>
      </w:r>
      <w:r w:rsidR="005769C2">
        <w:rPr>
          <w:rFonts w:ascii="Times New Roman" w:hAnsi="Times New Roman" w:cs="Times New Roman"/>
          <w:sz w:val="24"/>
          <w:szCs w:val="24"/>
        </w:rPr>
        <w:t xml:space="preserve">. Winston Churchill, responsible as President of the Board of Trade for the </w:t>
      </w:r>
      <w:r w:rsidR="00467090">
        <w:rPr>
          <w:rFonts w:ascii="Times New Roman" w:hAnsi="Times New Roman" w:cs="Times New Roman"/>
          <w:sz w:val="24"/>
          <w:szCs w:val="24"/>
        </w:rPr>
        <w:t xml:space="preserve">relevant part of the </w:t>
      </w:r>
      <w:r w:rsidR="005769C2">
        <w:rPr>
          <w:rFonts w:ascii="Times New Roman" w:hAnsi="Times New Roman" w:cs="Times New Roman"/>
          <w:sz w:val="24"/>
          <w:szCs w:val="24"/>
        </w:rPr>
        <w:t>original 1911 Act, did not want these disqualifications but was persuaded otherwise by his permanent under-secretary (Gilbert 1966, pp.270-73).  For 7</w:t>
      </w:r>
      <w:r w:rsidR="002E3C54">
        <w:rPr>
          <w:rFonts w:ascii="Times New Roman" w:hAnsi="Times New Roman" w:cs="Times New Roman"/>
          <w:sz w:val="24"/>
          <w:szCs w:val="24"/>
        </w:rPr>
        <w:t>5</w:t>
      </w:r>
      <w:r w:rsidR="005769C2">
        <w:rPr>
          <w:rFonts w:ascii="Times New Roman" w:hAnsi="Times New Roman" w:cs="Times New Roman"/>
          <w:sz w:val="24"/>
          <w:szCs w:val="24"/>
        </w:rPr>
        <w:t xml:space="preserve"> years the disqualification was fixed at 6 weeks. This was raised to </w:t>
      </w:r>
      <w:r w:rsidR="002E3C54">
        <w:rPr>
          <w:rFonts w:ascii="Times New Roman" w:hAnsi="Times New Roman" w:cs="Times New Roman"/>
          <w:sz w:val="24"/>
          <w:szCs w:val="24"/>
        </w:rPr>
        <w:t xml:space="preserve">up to </w:t>
      </w:r>
      <w:r w:rsidR="005769C2">
        <w:rPr>
          <w:rFonts w:ascii="Times New Roman" w:hAnsi="Times New Roman" w:cs="Times New Roman"/>
          <w:sz w:val="24"/>
          <w:szCs w:val="24"/>
        </w:rPr>
        <w:t xml:space="preserve">13 weeks </w:t>
      </w:r>
      <w:r w:rsidR="002E3C54">
        <w:rPr>
          <w:rFonts w:ascii="Times New Roman" w:hAnsi="Times New Roman" w:cs="Times New Roman"/>
          <w:sz w:val="24"/>
          <w:szCs w:val="24"/>
        </w:rPr>
        <w:t xml:space="preserve">in 1986 </w:t>
      </w:r>
      <w:r w:rsidR="005769C2">
        <w:rPr>
          <w:rFonts w:ascii="Times New Roman" w:hAnsi="Times New Roman" w:cs="Times New Roman"/>
          <w:sz w:val="24"/>
          <w:szCs w:val="24"/>
        </w:rPr>
        <w:t xml:space="preserve">and then (in 1988) to </w:t>
      </w:r>
      <w:r w:rsidR="002E3C54">
        <w:rPr>
          <w:rFonts w:ascii="Times New Roman" w:hAnsi="Times New Roman" w:cs="Times New Roman"/>
          <w:sz w:val="24"/>
          <w:szCs w:val="24"/>
        </w:rPr>
        <w:t xml:space="preserve">up to </w:t>
      </w:r>
      <w:r w:rsidR="005769C2">
        <w:rPr>
          <w:rFonts w:ascii="Times New Roman" w:hAnsi="Times New Roman" w:cs="Times New Roman"/>
          <w:sz w:val="24"/>
          <w:szCs w:val="24"/>
        </w:rPr>
        <w:t>26 weeks</w:t>
      </w:r>
      <w:r w:rsidR="002E3C54">
        <w:rPr>
          <w:rFonts w:ascii="Times New Roman" w:hAnsi="Times New Roman" w:cs="Times New Roman"/>
          <w:sz w:val="24"/>
          <w:szCs w:val="24"/>
        </w:rPr>
        <w:t xml:space="preserve">, and is now 13 weeks. </w:t>
      </w:r>
      <w:r w:rsidR="005769C2">
        <w:rPr>
          <w:rFonts w:ascii="Times New Roman" w:hAnsi="Times New Roman" w:cs="Times New Roman"/>
          <w:sz w:val="24"/>
          <w:szCs w:val="24"/>
        </w:rPr>
        <w:t xml:space="preserve"> </w:t>
      </w:r>
      <w:r w:rsidR="002E3C54">
        <w:rPr>
          <w:rFonts w:ascii="Times New Roman" w:hAnsi="Times New Roman" w:cs="Times New Roman"/>
          <w:sz w:val="24"/>
          <w:szCs w:val="24"/>
        </w:rPr>
        <w:t>The relevant M</w:t>
      </w:r>
      <w:r w:rsidR="005769C2">
        <w:rPr>
          <w:rFonts w:ascii="Times New Roman" w:hAnsi="Times New Roman" w:cs="Times New Roman"/>
          <w:sz w:val="24"/>
          <w:szCs w:val="24"/>
        </w:rPr>
        <w:t xml:space="preserve">inisters </w:t>
      </w:r>
      <w:r w:rsidR="002E3C54">
        <w:rPr>
          <w:rFonts w:ascii="Times New Roman" w:hAnsi="Times New Roman" w:cs="Times New Roman"/>
          <w:sz w:val="24"/>
          <w:szCs w:val="24"/>
        </w:rPr>
        <w:t>in the 1980s said they</w:t>
      </w:r>
      <w:r w:rsidR="005769C2">
        <w:rPr>
          <w:rFonts w:ascii="Times New Roman" w:hAnsi="Times New Roman" w:cs="Times New Roman"/>
          <w:sz w:val="24"/>
          <w:szCs w:val="24"/>
        </w:rPr>
        <w:t xml:space="preserve"> were concerned by </w:t>
      </w:r>
      <w:r w:rsidR="002E3C54">
        <w:rPr>
          <w:rFonts w:ascii="Times New Roman" w:hAnsi="Times New Roman" w:cs="Times New Roman"/>
          <w:sz w:val="24"/>
          <w:szCs w:val="24"/>
        </w:rPr>
        <w:t xml:space="preserve">an upward trend in these severances (Brown 1990, pp.189-91). However, they do not seem to have realised that this was simply a reversion to normal turnover after a big fall during the massive recession of the early Thatcher years.  </w:t>
      </w:r>
      <w:r w:rsidR="00EB6411">
        <w:rPr>
          <w:rFonts w:ascii="Times New Roman" w:hAnsi="Times New Roman" w:cs="Times New Roman"/>
          <w:sz w:val="24"/>
          <w:szCs w:val="24"/>
        </w:rPr>
        <w:t>There is no evidence of any serious subsequent policy</w:t>
      </w:r>
      <w:r w:rsidR="002E3C54">
        <w:rPr>
          <w:rFonts w:ascii="Times New Roman" w:hAnsi="Times New Roman" w:cs="Times New Roman"/>
          <w:sz w:val="24"/>
          <w:szCs w:val="24"/>
        </w:rPr>
        <w:t xml:space="preserve"> </w:t>
      </w:r>
      <w:r w:rsidR="00EB6411">
        <w:rPr>
          <w:rFonts w:ascii="Times New Roman" w:hAnsi="Times New Roman" w:cs="Times New Roman"/>
          <w:sz w:val="24"/>
          <w:szCs w:val="24"/>
        </w:rPr>
        <w:t>analysis o</w:t>
      </w:r>
      <w:r w:rsidR="00B96803">
        <w:rPr>
          <w:rFonts w:ascii="Times New Roman" w:hAnsi="Times New Roman" w:cs="Times New Roman"/>
          <w:sz w:val="24"/>
          <w:szCs w:val="24"/>
        </w:rPr>
        <w:t>f</w:t>
      </w:r>
      <w:r w:rsidR="00EB6411">
        <w:rPr>
          <w:rFonts w:ascii="Times New Roman" w:hAnsi="Times New Roman" w:cs="Times New Roman"/>
          <w:sz w:val="24"/>
          <w:szCs w:val="24"/>
        </w:rPr>
        <w:t xml:space="preserve"> the issue, either in the DWP or else</w:t>
      </w:r>
      <w:r w:rsidR="00630805">
        <w:rPr>
          <w:rFonts w:ascii="Times New Roman" w:hAnsi="Times New Roman" w:cs="Times New Roman"/>
          <w:sz w:val="24"/>
          <w:szCs w:val="24"/>
        </w:rPr>
        <w:t>where</w:t>
      </w:r>
      <w:r w:rsidR="00EB6411">
        <w:rPr>
          <w:rFonts w:ascii="Times New Roman" w:hAnsi="Times New Roman" w:cs="Times New Roman"/>
          <w:sz w:val="24"/>
          <w:szCs w:val="24"/>
        </w:rPr>
        <w:t>.</w:t>
      </w:r>
    </w:p>
    <w:p w:rsidR="00C94EB9" w:rsidRDefault="00C94EB9">
      <w:pPr>
        <w:rPr>
          <w:rFonts w:ascii="Times New Roman" w:hAnsi="Times New Roman" w:cs="Times New Roman"/>
          <w:sz w:val="24"/>
          <w:szCs w:val="24"/>
        </w:rPr>
      </w:pPr>
    </w:p>
    <w:p w:rsidR="00C94EB9" w:rsidRDefault="00C94EB9">
      <w:pPr>
        <w:rPr>
          <w:rFonts w:ascii="Times New Roman" w:hAnsi="Times New Roman" w:cs="Times New Roman"/>
          <w:sz w:val="24"/>
          <w:szCs w:val="24"/>
        </w:rPr>
      </w:pPr>
    </w:p>
    <w:p w:rsidR="00644847" w:rsidRDefault="00644847">
      <w:pPr>
        <w:rPr>
          <w:rFonts w:ascii="Times New Roman" w:hAnsi="Times New Roman" w:cs="Times New Roman"/>
          <w:sz w:val="24"/>
          <w:szCs w:val="24"/>
        </w:rPr>
      </w:pPr>
      <w:r>
        <w:rPr>
          <w:rFonts w:ascii="Times New Roman" w:hAnsi="Times New Roman" w:cs="Times New Roman"/>
          <w:sz w:val="24"/>
          <w:szCs w:val="24"/>
        </w:rPr>
        <w:br w:type="page"/>
      </w:r>
    </w:p>
    <w:p w:rsidR="009F3A45" w:rsidRPr="00CE06B8" w:rsidRDefault="009F3A45" w:rsidP="009F3A45">
      <w:pPr>
        <w:rPr>
          <w:rFonts w:ascii="Times New Roman" w:hAnsi="Times New Roman" w:cs="Times New Roman"/>
          <w:b/>
          <w:sz w:val="24"/>
          <w:szCs w:val="24"/>
        </w:rPr>
      </w:pPr>
      <w:r w:rsidRPr="00CE06B8">
        <w:rPr>
          <w:rFonts w:ascii="Times New Roman" w:hAnsi="Times New Roman" w:cs="Times New Roman"/>
          <w:b/>
          <w:sz w:val="24"/>
          <w:szCs w:val="24"/>
        </w:rPr>
        <w:lastRenderedPageBreak/>
        <w:t>REFERENCES</w:t>
      </w:r>
    </w:p>
    <w:p w:rsidR="009F3A45" w:rsidRDefault="009F3A45" w:rsidP="009F3A45">
      <w:pPr>
        <w:rPr>
          <w:rFonts w:ascii="Times New Roman" w:hAnsi="Times New Roman" w:cs="Times New Roman"/>
          <w:sz w:val="24"/>
          <w:szCs w:val="24"/>
        </w:rPr>
      </w:pPr>
    </w:p>
    <w:p w:rsidR="002E3C54" w:rsidRDefault="002E3C54" w:rsidP="00CA079B">
      <w:pPr>
        <w:rPr>
          <w:rFonts w:ascii="Times New Roman" w:hAnsi="Times New Roman" w:cs="Times New Roman"/>
          <w:sz w:val="24"/>
          <w:szCs w:val="24"/>
        </w:rPr>
      </w:pPr>
      <w:r>
        <w:rPr>
          <w:rFonts w:ascii="Times New Roman" w:hAnsi="Times New Roman" w:cs="Times New Roman"/>
          <w:sz w:val="24"/>
          <w:szCs w:val="24"/>
        </w:rPr>
        <w:t xml:space="preserve">Brown, Joan C. (1990) </w:t>
      </w:r>
      <w:r w:rsidRPr="002E3C54">
        <w:rPr>
          <w:rFonts w:ascii="Times New Roman" w:hAnsi="Times New Roman" w:cs="Times New Roman"/>
          <w:i/>
          <w:sz w:val="24"/>
          <w:szCs w:val="24"/>
        </w:rPr>
        <w:t>Victims or Villains? Social Security Benefits in Unemployment</w:t>
      </w:r>
      <w:r>
        <w:rPr>
          <w:rFonts w:ascii="Times New Roman" w:hAnsi="Times New Roman" w:cs="Times New Roman"/>
          <w:sz w:val="24"/>
          <w:szCs w:val="24"/>
        </w:rPr>
        <w:t>, York</w:t>
      </w:r>
      <w:r w:rsidR="00414353">
        <w:rPr>
          <w:rFonts w:ascii="Times New Roman" w:hAnsi="Times New Roman" w:cs="Times New Roman"/>
          <w:sz w:val="24"/>
          <w:szCs w:val="24"/>
        </w:rPr>
        <w:t>,</w:t>
      </w:r>
      <w:r>
        <w:rPr>
          <w:rFonts w:ascii="Times New Roman" w:hAnsi="Times New Roman" w:cs="Times New Roman"/>
          <w:sz w:val="24"/>
          <w:szCs w:val="24"/>
        </w:rPr>
        <w:t xml:space="preserve"> Joseph </w:t>
      </w:r>
      <w:proofErr w:type="spellStart"/>
      <w:r>
        <w:rPr>
          <w:rFonts w:ascii="Times New Roman" w:hAnsi="Times New Roman" w:cs="Times New Roman"/>
          <w:sz w:val="24"/>
          <w:szCs w:val="24"/>
        </w:rPr>
        <w:t>Rowntree</w:t>
      </w:r>
      <w:proofErr w:type="spellEnd"/>
      <w:r>
        <w:rPr>
          <w:rFonts w:ascii="Times New Roman" w:hAnsi="Times New Roman" w:cs="Times New Roman"/>
          <w:sz w:val="24"/>
          <w:szCs w:val="24"/>
        </w:rPr>
        <w:t xml:space="preserve"> Memorial Trust</w:t>
      </w:r>
    </w:p>
    <w:p w:rsidR="002E3C54" w:rsidRDefault="002E3C54" w:rsidP="00CA079B">
      <w:pPr>
        <w:rPr>
          <w:rFonts w:ascii="Times New Roman" w:hAnsi="Times New Roman" w:cs="Times New Roman"/>
          <w:sz w:val="24"/>
          <w:szCs w:val="24"/>
        </w:rPr>
      </w:pPr>
    </w:p>
    <w:p w:rsidR="00CA079B" w:rsidRDefault="00CA079B" w:rsidP="00CA079B">
      <w:pPr>
        <w:rPr>
          <w:rFonts w:ascii="Times New Roman" w:hAnsi="Times New Roman" w:cs="Times New Roman"/>
          <w:sz w:val="24"/>
          <w:szCs w:val="24"/>
        </w:rPr>
      </w:pPr>
      <w:proofErr w:type="spellStart"/>
      <w:r w:rsidRPr="00CA079B">
        <w:rPr>
          <w:rFonts w:ascii="Times New Roman" w:hAnsi="Times New Roman" w:cs="Times New Roman"/>
          <w:sz w:val="24"/>
          <w:szCs w:val="24"/>
        </w:rPr>
        <w:t>Couling</w:t>
      </w:r>
      <w:proofErr w:type="spellEnd"/>
      <w:r w:rsidR="002E4A1F">
        <w:rPr>
          <w:rFonts w:ascii="Times New Roman" w:hAnsi="Times New Roman" w:cs="Times New Roman"/>
          <w:sz w:val="24"/>
          <w:szCs w:val="24"/>
        </w:rPr>
        <w:t>,</w:t>
      </w:r>
      <w:r w:rsidR="002E4A1F" w:rsidRPr="002E4A1F">
        <w:rPr>
          <w:rFonts w:ascii="Times New Roman" w:hAnsi="Times New Roman" w:cs="Times New Roman"/>
          <w:sz w:val="24"/>
          <w:szCs w:val="24"/>
        </w:rPr>
        <w:t xml:space="preserve"> </w:t>
      </w:r>
      <w:r w:rsidR="002E4A1F" w:rsidRPr="00CA079B">
        <w:rPr>
          <w:rFonts w:ascii="Times New Roman" w:hAnsi="Times New Roman" w:cs="Times New Roman"/>
          <w:sz w:val="24"/>
          <w:szCs w:val="24"/>
        </w:rPr>
        <w:t>Neil</w:t>
      </w:r>
      <w:r w:rsidR="002E4A1F">
        <w:rPr>
          <w:rFonts w:ascii="Times New Roman" w:hAnsi="Times New Roman" w:cs="Times New Roman"/>
          <w:sz w:val="24"/>
          <w:szCs w:val="24"/>
        </w:rPr>
        <w:t xml:space="preserve"> (2013) </w:t>
      </w:r>
      <w:r w:rsidRPr="00B24778">
        <w:rPr>
          <w:rFonts w:ascii="Times New Roman" w:hAnsi="Times New Roman" w:cs="Times New Roman"/>
          <w:i/>
          <w:sz w:val="24"/>
          <w:szCs w:val="24"/>
        </w:rPr>
        <w:t xml:space="preserve">Conditionality </w:t>
      </w:r>
      <w:r w:rsidR="002E4A1F" w:rsidRPr="00B24778">
        <w:rPr>
          <w:rFonts w:ascii="Times New Roman" w:hAnsi="Times New Roman" w:cs="Times New Roman"/>
          <w:i/>
          <w:sz w:val="24"/>
          <w:szCs w:val="24"/>
        </w:rPr>
        <w:t>a</w:t>
      </w:r>
      <w:r w:rsidRPr="00B24778">
        <w:rPr>
          <w:rFonts w:ascii="Times New Roman" w:hAnsi="Times New Roman" w:cs="Times New Roman"/>
          <w:i/>
          <w:sz w:val="24"/>
          <w:szCs w:val="24"/>
        </w:rPr>
        <w:t>nd Sanctions</w:t>
      </w:r>
      <w:r w:rsidR="002E4A1F">
        <w:rPr>
          <w:rFonts w:ascii="Times New Roman" w:hAnsi="Times New Roman" w:cs="Times New Roman"/>
          <w:sz w:val="24"/>
          <w:szCs w:val="24"/>
        </w:rPr>
        <w:t xml:space="preserve">, </w:t>
      </w:r>
      <w:r w:rsidRPr="00CA079B">
        <w:rPr>
          <w:rFonts w:ascii="Times New Roman" w:hAnsi="Times New Roman" w:cs="Times New Roman"/>
          <w:sz w:val="24"/>
          <w:szCs w:val="24"/>
        </w:rPr>
        <w:t xml:space="preserve">Report </w:t>
      </w:r>
      <w:r w:rsidR="002E4A1F">
        <w:rPr>
          <w:rFonts w:ascii="Times New Roman" w:hAnsi="Times New Roman" w:cs="Times New Roman"/>
          <w:sz w:val="24"/>
          <w:szCs w:val="24"/>
        </w:rPr>
        <w:t>to t</w:t>
      </w:r>
      <w:r w:rsidRPr="00CA079B">
        <w:rPr>
          <w:rFonts w:ascii="Times New Roman" w:hAnsi="Times New Roman" w:cs="Times New Roman"/>
          <w:sz w:val="24"/>
          <w:szCs w:val="24"/>
        </w:rPr>
        <w:t xml:space="preserve">he Secretary </w:t>
      </w:r>
      <w:r w:rsidR="002E4A1F">
        <w:rPr>
          <w:rFonts w:ascii="Times New Roman" w:hAnsi="Times New Roman" w:cs="Times New Roman"/>
          <w:sz w:val="24"/>
          <w:szCs w:val="24"/>
        </w:rPr>
        <w:t>o</w:t>
      </w:r>
      <w:r w:rsidRPr="00CA079B">
        <w:rPr>
          <w:rFonts w:ascii="Times New Roman" w:hAnsi="Times New Roman" w:cs="Times New Roman"/>
          <w:sz w:val="24"/>
          <w:szCs w:val="24"/>
        </w:rPr>
        <w:t xml:space="preserve">f State </w:t>
      </w:r>
      <w:r w:rsidR="002E4A1F">
        <w:rPr>
          <w:rFonts w:ascii="Times New Roman" w:hAnsi="Times New Roman" w:cs="Times New Roman"/>
          <w:sz w:val="24"/>
          <w:szCs w:val="24"/>
        </w:rPr>
        <w:t>f</w:t>
      </w:r>
      <w:r w:rsidRPr="00CA079B">
        <w:rPr>
          <w:rFonts w:ascii="Times New Roman" w:hAnsi="Times New Roman" w:cs="Times New Roman"/>
          <w:sz w:val="24"/>
          <w:szCs w:val="24"/>
        </w:rPr>
        <w:t xml:space="preserve">or Work </w:t>
      </w:r>
      <w:r w:rsidR="002E4A1F">
        <w:rPr>
          <w:rFonts w:ascii="Times New Roman" w:hAnsi="Times New Roman" w:cs="Times New Roman"/>
          <w:sz w:val="24"/>
          <w:szCs w:val="24"/>
        </w:rPr>
        <w:t>a</w:t>
      </w:r>
      <w:r w:rsidRPr="00CA079B">
        <w:rPr>
          <w:rFonts w:ascii="Times New Roman" w:hAnsi="Times New Roman" w:cs="Times New Roman"/>
          <w:sz w:val="24"/>
          <w:szCs w:val="24"/>
        </w:rPr>
        <w:t>nd Pensions</w:t>
      </w:r>
      <w:r>
        <w:rPr>
          <w:rFonts w:ascii="Times New Roman" w:hAnsi="Times New Roman" w:cs="Times New Roman"/>
          <w:sz w:val="24"/>
          <w:szCs w:val="24"/>
        </w:rPr>
        <w:t xml:space="preserve">, </w:t>
      </w:r>
      <w:r w:rsidR="002E4A1F">
        <w:rPr>
          <w:rFonts w:ascii="Times New Roman" w:hAnsi="Times New Roman" w:cs="Times New Roman"/>
          <w:sz w:val="24"/>
          <w:szCs w:val="24"/>
        </w:rPr>
        <w:t>Department for Work and Pension</w:t>
      </w:r>
      <w:r w:rsidR="00E51C20">
        <w:rPr>
          <w:rFonts w:ascii="Times New Roman" w:hAnsi="Times New Roman" w:cs="Times New Roman"/>
          <w:sz w:val="24"/>
          <w:szCs w:val="24"/>
        </w:rPr>
        <w:t>s</w:t>
      </w:r>
      <w:r w:rsidR="002E4A1F">
        <w:rPr>
          <w:rFonts w:ascii="Times New Roman" w:hAnsi="Times New Roman" w:cs="Times New Roman"/>
          <w:sz w:val="24"/>
          <w:szCs w:val="24"/>
        </w:rPr>
        <w:t xml:space="preserve">, </w:t>
      </w:r>
      <w:r>
        <w:rPr>
          <w:rFonts w:ascii="Times New Roman" w:hAnsi="Times New Roman" w:cs="Times New Roman"/>
          <w:sz w:val="24"/>
          <w:szCs w:val="24"/>
        </w:rPr>
        <w:t xml:space="preserve">May, available at </w:t>
      </w:r>
      <w:hyperlink r:id="rId9" w:history="1">
        <w:r w:rsidR="00FD75A3" w:rsidRPr="00F4367B">
          <w:rPr>
            <w:rStyle w:val="Hyperlink"/>
            <w:rFonts w:ascii="Times New Roman" w:hAnsi="Times New Roman" w:cs="Times New Roman"/>
            <w:sz w:val="24"/>
            <w:szCs w:val="24"/>
          </w:rPr>
          <w:t>https://www.gov.uk/government/publications/conditionality-and-sanctions-a-report-to-the-secretary-of-state-for-work-and-pensions</w:t>
        </w:r>
      </w:hyperlink>
    </w:p>
    <w:p w:rsidR="00FD75A3" w:rsidRDefault="00FD75A3" w:rsidP="00CA079B">
      <w:pPr>
        <w:rPr>
          <w:rFonts w:ascii="Times New Roman" w:hAnsi="Times New Roman" w:cs="Times New Roman"/>
          <w:sz w:val="24"/>
          <w:szCs w:val="24"/>
        </w:rPr>
      </w:pPr>
    </w:p>
    <w:p w:rsidR="00FD75A3" w:rsidRPr="00CA079B" w:rsidRDefault="00FD75A3" w:rsidP="00CA079B">
      <w:pPr>
        <w:rPr>
          <w:rFonts w:ascii="Times New Roman" w:hAnsi="Times New Roman" w:cs="Times New Roman"/>
          <w:sz w:val="24"/>
          <w:szCs w:val="24"/>
        </w:rPr>
      </w:pPr>
      <w:r>
        <w:rPr>
          <w:rFonts w:ascii="Times New Roman" w:hAnsi="Times New Roman" w:cs="Times New Roman"/>
          <w:sz w:val="24"/>
          <w:szCs w:val="24"/>
        </w:rPr>
        <w:t xml:space="preserve">Gilbert, Bentley B. (1966) </w:t>
      </w:r>
      <w:r w:rsidRPr="00FD75A3">
        <w:rPr>
          <w:rFonts w:ascii="Times New Roman" w:hAnsi="Times New Roman" w:cs="Times New Roman"/>
          <w:i/>
          <w:sz w:val="24"/>
          <w:szCs w:val="24"/>
        </w:rPr>
        <w:t xml:space="preserve">The Evolution of National Insurance in Great Britain: </w:t>
      </w:r>
      <w:proofErr w:type="gramStart"/>
      <w:r w:rsidRPr="00FD75A3">
        <w:rPr>
          <w:rFonts w:ascii="Times New Roman" w:hAnsi="Times New Roman" w:cs="Times New Roman"/>
          <w:i/>
          <w:sz w:val="24"/>
          <w:szCs w:val="24"/>
        </w:rPr>
        <w:t>The</w:t>
      </w:r>
      <w:proofErr w:type="gramEnd"/>
      <w:r w:rsidRPr="00FD75A3">
        <w:rPr>
          <w:rFonts w:ascii="Times New Roman" w:hAnsi="Times New Roman" w:cs="Times New Roman"/>
          <w:i/>
          <w:sz w:val="24"/>
          <w:szCs w:val="24"/>
        </w:rPr>
        <w:t xml:space="preserve"> Origins of the Welfare State</w:t>
      </w:r>
      <w:r>
        <w:rPr>
          <w:rFonts w:ascii="Times New Roman" w:hAnsi="Times New Roman" w:cs="Times New Roman"/>
          <w:sz w:val="24"/>
          <w:szCs w:val="24"/>
        </w:rPr>
        <w:t>, Michael Joseph (</w:t>
      </w:r>
      <w:proofErr w:type="spellStart"/>
      <w:r w:rsidR="00D0066C">
        <w:rPr>
          <w:rFonts w:ascii="Times New Roman" w:hAnsi="Times New Roman" w:cs="Times New Roman"/>
          <w:sz w:val="24"/>
          <w:szCs w:val="24"/>
        </w:rPr>
        <w:t>repr</w:t>
      </w:r>
      <w:proofErr w:type="spellEnd"/>
      <w:r w:rsidR="00D0066C">
        <w:rPr>
          <w:rFonts w:ascii="Times New Roman" w:hAnsi="Times New Roman" w:cs="Times New Roman"/>
          <w:sz w:val="24"/>
          <w:szCs w:val="24"/>
        </w:rPr>
        <w:t xml:space="preserve">. Aldershot, </w:t>
      </w:r>
      <w:r>
        <w:rPr>
          <w:rFonts w:ascii="Times New Roman" w:hAnsi="Times New Roman" w:cs="Times New Roman"/>
          <w:sz w:val="24"/>
          <w:szCs w:val="24"/>
        </w:rPr>
        <w:t>Gregg Revivals 1993)</w:t>
      </w:r>
    </w:p>
    <w:p w:rsidR="00CA079B" w:rsidRDefault="00CA079B" w:rsidP="00FD7466">
      <w:pPr>
        <w:rPr>
          <w:rFonts w:ascii="Times New Roman" w:hAnsi="Times New Roman" w:cs="Times New Roman"/>
          <w:sz w:val="24"/>
          <w:szCs w:val="24"/>
        </w:rPr>
      </w:pPr>
    </w:p>
    <w:p w:rsidR="009F3A45" w:rsidRPr="00122402" w:rsidRDefault="009F3A45" w:rsidP="009F3A45">
      <w:pPr>
        <w:rPr>
          <w:rFonts w:ascii="Times New Roman" w:hAnsi="Times New Roman" w:cs="Times New Roman"/>
          <w:sz w:val="24"/>
          <w:szCs w:val="24"/>
        </w:rPr>
      </w:pPr>
      <w:r w:rsidRPr="00122402">
        <w:rPr>
          <w:rFonts w:ascii="Times New Roman" w:hAnsi="Times New Roman" w:cs="Times New Roman"/>
          <w:sz w:val="24"/>
          <w:szCs w:val="24"/>
        </w:rPr>
        <w:t>Webster, D</w:t>
      </w:r>
      <w:r>
        <w:rPr>
          <w:rFonts w:ascii="Times New Roman" w:hAnsi="Times New Roman" w:cs="Times New Roman"/>
          <w:sz w:val="24"/>
          <w:szCs w:val="24"/>
        </w:rPr>
        <w:t>avid</w:t>
      </w:r>
      <w:r w:rsidRPr="00122402">
        <w:rPr>
          <w:rFonts w:ascii="Times New Roman" w:hAnsi="Times New Roman" w:cs="Times New Roman"/>
          <w:sz w:val="24"/>
          <w:szCs w:val="24"/>
        </w:rPr>
        <w:t xml:space="preserve"> (2005) ‘Long-Term Unemployment, the Invention of “Hysteresis” and the</w:t>
      </w:r>
    </w:p>
    <w:p w:rsidR="009F3A45" w:rsidRPr="00122402" w:rsidRDefault="009F3A45" w:rsidP="009F3A45">
      <w:pPr>
        <w:rPr>
          <w:rFonts w:ascii="Times New Roman" w:hAnsi="Times New Roman" w:cs="Times New Roman"/>
          <w:sz w:val="24"/>
          <w:szCs w:val="24"/>
        </w:rPr>
      </w:pPr>
      <w:r w:rsidRPr="00122402">
        <w:rPr>
          <w:rFonts w:ascii="Times New Roman" w:hAnsi="Times New Roman" w:cs="Times New Roman"/>
          <w:sz w:val="24"/>
          <w:szCs w:val="24"/>
        </w:rPr>
        <w:t xml:space="preserve">Misdiagnosis of Structural Unemployment in the UK’, </w:t>
      </w:r>
      <w:r w:rsidRPr="00122402">
        <w:rPr>
          <w:rFonts w:ascii="Times New Roman" w:hAnsi="Times New Roman" w:cs="Times New Roman"/>
          <w:i/>
          <w:sz w:val="24"/>
          <w:szCs w:val="24"/>
        </w:rPr>
        <w:t>Cambridge Journal of Economics</w:t>
      </w:r>
      <w:r w:rsidRPr="00122402">
        <w:rPr>
          <w:rFonts w:ascii="Times New Roman" w:hAnsi="Times New Roman" w:cs="Times New Roman"/>
          <w:sz w:val="24"/>
          <w:szCs w:val="24"/>
        </w:rPr>
        <w:t>,</w:t>
      </w:r>
    </w:p>
    <w:p w:rsidR="00644847" w:rsidRDefault="009F3A45" w:rsidP="009F3A45">
      <w:pPr>
        <w:pStyle w:val="ListParagraph"/>
        <w:ind w:left="0"/>
        <w:rPr>
          <w:rFonts w:ascii="Times New Roman" w:hAnsi="Times New Roman" w:cs="Times New Roman"/>
          <w:sz w:val="24"/>
          <w:szCs w:val="24"/>
        </w:rPr>
      </w:pPr>
      <w:r w:rsidRPr="00122402">
        <w:rPr>
          <w:rFonts w:ascii="Times New Roman" w:hAnsi="Times New Roman" w:cs="Times New Roman"/>
          <w:sz w:val="24"/>
          <w:szCs w:val="24"/>
        </w:rPr>
        <w:t>Vol.29 No.6, November, 975-95</w:t>
      </w:r>
    </w:p>
    <w:p w:rsidR="00644847" w:rsidRDefault="00644847" w:rsidP="00DD1C75">
      <w:pPr>
        <w:pStyle w:val="ListParagraph"/>
        <w:ind w:left="0"/>
        <w:rPr>
          <w:rFonts w:ascii="Times New Roman" w:hAnsi="Times New Roman" w:cs="Times New Roman"/>
          <w:sz w:val="24"/>
          <w:szCs w:val="24"/>
        </w:rPr>
      </w:pPr>
    </w:p>
    <w:p w:rsidR="00644847" w:rsidRDefault="00644847" w:rsidP="00DD1C75">
      <w:pPr>
        <w:pStyle w:val="ListParagraph"/>
        <w:ind w:left="0"/>
        <w:rPr>
          <w:rFonts w:ascii="Times New Roman" w:hAnsi="Times New Roman" w:cs="Times New Roman"/>
          <w:sz w:val="24"/>
          <w:szCs w:val="24"/>
        </w:rPr>
      </w:pPr>
    </w:p>
    <w:p w:rsidR="00B544AF" w:rsidRDefault="00B544AF" w:rsidP="00980863">
      <w:pPr>
        <w:pStyle w:val="ListParagraph"/>
        <w:ind w:left="0"/>
        <w:rPr>
          <w:rFonts w:ascii="Times New Roman" w:hAnsi="Times New Roman" w:cs="Times New Roman"/>
          <w:b/>
          <w:sz w:val="24"/>
          <w:szCs w:val="24"/>
        </w:rPr>
      </w:pPr>
    </w:p>
    <w:p w:rsidR="00B544AF" w:rsidRDefault="00B544AF" w:rsidP="00980863">
      <w:pPr>
        <w:pStyle w:val="ListParagraph"/>
        <w:ind w:left="0"/>
        <w:rPr>
          <w:rFonts w:ascii="Times New Roman" w:hAnsi="Times New Roman" w:cs="Times New Roman"/>
          <w:b/>
          <w:sz w:val="24"/>
          <w:szCs w:val="24"/>
        </w:rPr>
      </w:pPr>
    </w:p>
    <w:p w:rsidR="00414353" w:rsidRDefault="00980863" w:rsidP="00980863">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APPENDIX:  </w:t>
      </w:r>
      <w:r w:rsidR="00142C4E">
        <w:rPr>
          <w:rFonts w:ascii="Times New Roman" w:hAnsi="Times New Roman" w:cs="Times New Roman"/>
          <w:b/>
          <w:sz w:val="24"/>
          <w:szCs w:val="24"/>
        </w:rPr>
        <w:t xml:space="preserve">DWP JOBCENTRE PLUS OFFICE DATA </w:t>
      </w:r>
    </w:p>
    <w:p w:rsidR="00980863" w:rsidRDefault="00980863" w:rsidP="00980863">
      <w:pPr>
        <w:pStyle w:val="ListParagraph"/>
        <w:ind w:left="0"/>
        <w:rPr>
          <w:rFonts w:ascii="Times New Roman" w:hAnsi="Times New Roman" w:cs="Times New Roman"/>
          <w:sz w:val="24"/>
          <w:szCs w:val="24"/>
        </w:rPr>
      </w:pPr>
    </w:p>
    <w:p w:rsidR="00483FE7" w:rsidRPr="00FD5ECD" w:rsidRDefault="009F42F2" w:rsidP="00483FE7">
      <w:pPr>
        <w:rPr>
          <w:rFonts w:ascii="Times New Roman" w:hAnsi="Times New Roman" w:cs="Times New Roman"/>
          <w:sz w:val="24"/>
          <w:szCs w:val="24"/>
        </w:rPr>
      </w:pPr>
      <w:r>
        <w:rPr>
          <w:rFonts w:ascii="Times New Roman" w:hAnsi="Times New Roman" w:cs="Times New Roman"/>
          <w:sz w:val="24"/>
          <w:szCs w:val="24"/>
        </w:rPr>
        <w:t xml:space="preserve">The DWP spreadsheet published on 15 May 2013 gives the total number of sanctions/disallowances for each Jobcentre Plus office for each month from April 2000 to 21 October 2012. Over this period there have been many openings and closures of offices, so that the total number of offices listed </w:t>
      </w:r>
      <w:r w:rsidR="00EC22FF">
        <w:rPr>
          <w:rFonts w:ascii="Times New Roman" w:hAnsi="Times New Roman" w:cs="Times New Roman"/>
          <w:sz w:val="24"/>
          <w:szCs w:val="24"/>
        </w:rPr>
        <w:t xml:space="preserve">is </w:t>
      </w:r>
      <w:r w:rsidR="00506744">
        <w:rPr>
          <w:rFonts w:ascii="Times New Roman" w:hAnsi="Times New Roman" w:cs="Times New Roman"/>
          <w:sz w:val="24"/>
          <w:szCs w:val="24"/>
        </w:rPr>
        <w:t>around twice the actual number of</w:t>
      </w:r>
      <w:r w:rsidR="00EC22FF">
        <w:rPr>
          <w:rFonts w:ascii="Times New Roman" w:hAnsi="Times New Roman" w:cs="Times New Roman"/>
          <w:sz w:val="24"/>
          <w:szCs w:val="24"/>
        </w:rPr>
        <w:t xml:space="preserve"> 740 Jobcentres at March 2013.</w:t>
      </w:r>
      <w:r>
        <w:rPr>
          <w:rFonts w:ascii="Times New Roman" w:hAnsi="Times New Roman" w:cs="Times New Roman"/>
          <w:sz w:val="24"/>
          <w:szCs w:val="24"/>
        </w:rPr>
        <w:t xml:space="preserve"> </w:t>
      </w:r>
      <w:r w:rsidR="00506744">
        <w:rPr>
          <w:rFonts w:ascii="Times New Roman" w:hAnsi="Times New Roman" w:cs="Times New Roman"/>
          <w:sz w:val="24"/>
          <w:szCs w:val="24"/>
        </w:rPr>
        <w:t xml:space="preserve">The DWP spreadsheet of 21 June 2013 giving the number of claimants at each office covers the period only from </w:t>
      </w:r>
      <w:r w:rsidR="004B087B">
        <w:rPr>
          <w:rFonts w:ascii="Times New Roman" w:hAnsi="Times New Roman" w:cs="Times New Roman"/>
          <w:sz w:val="24"/>
          <w:szCs w:val="24"/>
        </w:rPr>
        <w:t>March</w:t>
      </w:r>
      <w:r w:rsidR="00506744">
        <w:rPr>
          <w:rFonts w:ascii="Times New Roman" w:hAnsi="Times New Roman" w:cs="Times New Roman"/>
          <w:sz w:val="24"/>
          <w:szCs w:val="24"/>
        </w:rPr>
        <w:t xml:space="preserve"> 2008 to 21 October 2013. This reduces the problem of matching Jobcentres between the two sets of data. However, a complete match has still not been possible. </w:t>
      </w:r>
      <w:r w:rsidR="00483FE7">
        <w:rPr>
          <w:rFonts w:ascii="Times New Roman" w:hAnsi="Times New Roman" w:cs="Times New Roman"/>
          <w:sz w:val="24"/>
          <w:szCs w:val="24"/>
        </w:rPr>
        <w:t xml:space="preserve">There are a number of dubious cases, usually where a Jobcentre’s caseload was apparently being run down in the months prior to closure or being built up after opening. </w:t>
      </w:r>
      <w:r w:rsidR="00CB36C0">
        <w:rPr>
          <w:rFonts w:ascii="Times New Roman" w:hAnsi="Times New Roman" w:cs="Times New Roman"/>
          <w:sz w:val="24"/>
          <w:szCs w:val="24"/>
        </w:rPr>
        <w:t>In addition to those shown as ‘dormant’ by DWP, t</w:t>
      </w:r>
      <w:r w:rsidR="00483FE7">
        <w:rPr>
          <w:rFonts w:ascii="Times New Roman" w:hAnsi="Times New Roman" w:cs="Times New Roman"/>
          <w:sz w:val="24"/>
          <w:szCs w:val="24"/>
        </w:rPr>
        <w:t xml:space="preserve">he following offices have been omitted from the analysis: </w:t>
      </w:r>
      <w:r w:rsidR="00483FE7" w:rsidRPr="00DB0B27">
        <w:rPr>
          <w:rFonts w:ascii="Times New Roman" w:hAnsi="Times New Roman" w:cs="Times New Roman"/>
          <w:sz w:val="24"/>
          <w:szCs w:val="24"/>
        </w:rPr>
        <w:t xml:space="preserve">Leicester Eldon St, Derby Becket St, Nottingham </w:t>
      </w:r>
      <w:proofErr w:type="spellStart"/>
      <w:r w:rsidR="00483FE7" w:rsidRPr="00DB0B27">
        <w:rPr>
          <w:rFonts w:ascii="Times New Roman" w:hAnsi="Times New Roman" w:cs="Times New Roman"/>
          <w:sz w:val="24"/>
          <w:szCs w:val="24"/>
        </w:rPr>
        <w:t>Watercourt</w:t>
      </w:r>
      <w:proofErr w:type="spellEnd"/>
      <w:r w:rsidR="00483FE7" w:rsidRPr="00DB0B27">
        <w:rPr>
          <w:rFonts w:ascii="Times New Roman" w:hAnsi="Times New Roman" w:cs="Times New Roman"/>
          <w:sz w:val="24"/>
          <w:szCs w:val="24"/>
        </w:rPr>
        <w:t xml:space="preserve">, Camberwell, Deptford, Feltham, Whitstable, Grimsby Crown House, </w:t>
      </w:r>
      <w:proofErr w:type="spellStart"/>
      <w:r w:rsidR="00483FE7" w:rsidRPr="00DB0B27">
        <w:rPr>
          <w:rFonts w:ascii="Times New Roman" w:hAnsi="Times New Roman" w:cs="Times New Roman"/>
          <w:sz w:val="24"/>
          <w:szCs w:val="24"/>
        </w:rPr>
        <w:t>Cockermouth</w:t>
      </w:r>
      <w:proofErr w:type="spellEnd"/>
      <w:r w:rsidR="00483FE7" w:rsidRPr="00DB0B27">
        <w:rPr>
          <w:rFonts w:ascii="Times New Roman" w:hAnsi="Times New Roman" w:cs="Times New Roman"/>
          <w:sz w:val="24"/>
          <w:szCs w:val="24"/>
        </w:rPr>
        <w:t xml:space="preserve">, </w:t>
      </w:r>
      <w:proofErr w:type="spellStart"/>
      <w:r w:rsidR="00483FE7" w:rsidRPr="00DB0B27">
        <w:rPr>
          <w:rFonts w:ascii="Times New Roman" w:hAnsi="Times New Roman" w:cs="Times New Roman"/>
          <w:sz w:val="24"/>
          <w:szCs w:val="24"/>
        </w:rPr>
        <w:t>Millom</w:t>
      </w:r>
      <w:proofErr w:type="spellEnd"/>
      <w:r w:rsidR="00483FE7" w:rsidRPr="00DB0B27">
        <w:rPr>
          <w:rFonts w:ascii="Times New Roman" w:hAnsi="Times New Roman" w:cs="Times New Roman"/>
          <w:sz w:val="24"/>
          <w:szCs w:val="24"/>
        </w:rPr>
        <w:t xml:space="preserve">, Aberdeen Chapel St, Dundee </w:t>
      </w:r>
      <w:proofErr w:type="spellStart"/>
      <w:r w:rsidR="00483FE7" w:rsidRPr="00DB0B27">
        <w:rPr>
          <w:rFonts w:ascii="Times New Roman" w:hAnsi="Times New Roman" w:cs="Times New Roman"/>
          <w:sz w:val="24"/>
          <w:szCs w:val="24"/>
        </w:rPr>
        <w:t>Gellatly</w:t>
      </w:r>
      <w:proofErr w:type="spellEnd"/>
      <w:r w:rsidR="00483FE7" w:rsidRPr="00DB0B27">
        <w:rPr>
          <w:rFonts w:ascii="Times New Roman" w:hAnsi="Times New Roman" w:cs="Times New Roman"/>
          <w:sz w:val="24"/>
          <w:szCs w:val="24"/>
        </w:rPr>
        <w:t xml:space="preserve"> St, </w:t>
      </w:r>
      <w:proofErr w:type="spellStart"/>
      <w:r w:rsidR="00483FE7" w:rsidRPr="00DB0B27">
        <w:rPr>
          <w:rFonts w:ascii="Times New Roman" w:hAnsi="Times New Roman" w:cs="Times New Roman"/>
          <w:sz w:val="24"/>
          <w:szCs w:val="24"/>
        </w:rPr>
        <w:t>Shawlands</w:t>
      </w:r>
      <w:proofErr w:type="spellEnd"/>
      <w:r w:rsidR="00483FE7">
        <w:rPr>
          <w:rFonts w:ascii="Times New Roman" w:hAnsi="Times New Roman" w:cs="Times New Roman"/>
          <w:sz w:val="24"/>
          <w:szCs w:val="24"/>
        </w:rPr>
        <w:t xml:space="preserve">, </w:t>
      </w:r>
      <w:r w:rsidR="00483FE7" w:rsidRPr="00212A31">
        <w:rPr>
          <w:rFonts w:ascii="Times New Roman" w:hAnsi="Times New Roman" w:cs="Times New Roman"/>
          <w:sz w:val="24"/>
          <w:szCs w:val="24"/>
        </w:rPr>
        <w:t xml:space="preserve">Blackpool </w:t>
      </w:r>
      <w:proofErr w:type="spellStart"/>
      <w:r w:rsidR="00483FE7" w:rsidRPr="00212A31">
        <w:rPr>
          <w:rFonts w:ascii="Times New Roman" w:hAnsi="Times New Roman" w:cs="Times New Roman"/>
          <w:sz w:val="24"/>
          <w:szCs w:val="24"/>
        </w:rPr>
        <w:t>Tyldesley</w:t>
      </w:r>
      <w:proofErr w:type="spellEnd"/>
      <w:r w:rsidR="00483FE7" w:rsidRPr="00212A31">
        <w:rPr>
          <w:rFonts w:ascii="Times New Roman" w:hAnsi="Times New Roman" w:cs="Times New Roman"/>
          <w:sz w:val="24"/>
          <w:szCs w:val="24"/>
        </w:rPr>
        <w:t xml:space="preserve"> Rd, Walthamstow Forest Rd</w:t>
      </w:r>
      <w:r w:rsidR="00483FE7">
        <w:rPr>
          <w:rFonts w:ascii="Times New Roman" w:hAnsi="Times New Roman" w:cs="Times New Roman"/>
          <w:sz w:val="24"/>
          <w:szCs w:val="24"/>
        </w:rPr>
        <w:t xml:space="preserve">.  In addition, the allocation of sanctions/disallowances and caseload between individual Jobcentres in a given town sometimes appears not to match. In these cases the data for the Jobcentres within the town or city have been combined. Figures for offices in the following towns have been added together: </w:t>
      </w:r>
      <w:r w:rsidR="00483FE7" w:rsidRPr="00DB0B27">
        <w:rPr>
          <w:rFonts w:ascii="Times New Roman" w:hAnsi="Times New Roman" w:cs="Times New Roman"/>
          <w:sz w:val="24"/>
          <w:szCs w:val="24"/>
        </w:rPr>
        <w:t>Lincoln, Mansfield, Luton and Dunstable, Harrow, Halifax, Milton Keyne</w:t>
      </w:r>
      <w:r w:rsidR="00483FE7">
        <w:rPr>
          <w:rFonts w:ascii="Times New Roman" w:hAnsi="Times New Roman" w:cs="Times New Roman"/>
          <w:sz w:val="24"/>
          <w:szCs w:val="24"/>
        </w:rPr>
        <w:t xml:space="preserve">s, Portsmouth, Cardiff, Newport. </w:t>
      </w:r>
    </w:p>
    <w:p w:rsidR="00C1731E" w:rsidRDefault="00C1731E" w:rsidP="00980863">
      <w:pPr>
        <w:pStyle w:val="ListParagraph"/>
        <w:ind w:left="0"/>
        <w:rPr>
          <w:rFonts w:ascii="Times New Roman" w:hAnsi="Times New Roman" w:cs="Times New Roman"/>
          <w:sz w:val="24"/>
          <w:szCs w:val="24"/>
        </w:rPr>
      </w:pPr>
    </w:p>
    <w:p w:rsidR="00C1731E" w:rsidRPr="00C1731E" w:rsidRDefault="00C1731E" w:rsidP="00C1731E">
      <w:pPr>
        <w:rPr>
          <w:rFonts w:ascii="Times New Roman" w:hAnsi="Times New Roman" w:cs="Times New Roman"/>
          <w:sz w:val="24"/>
          <w:szCs w:val="24"/>
        </w:rPr>
      </w:pPr>
      <w:r w:rsidRPr="00C1731E">
        <w:rPr>
          <w:rFonts w:ascii="Times New Roman" w:hAnsi="Times New Roman" w:cs="Times New Roman"/>
          <w:sz w:val="24"/>
          <w:szCs w:val="24"/>
        </w:rPr>
        <w:t>In relation to the spreadsheet of 21 June</w:t>
      </w:r>
      <w:r w:rsidR="00030E34">
        <w:rPr>
          <w:rFonts w:ascii="Times New Roman" w:hAnsi="Times New Roman" w:cs="Times New Roman"/>
          <w:sz w:val="24"/>
          <w:szCs w:val="24"/>
        </w:rPr>
        <w:t xml:space="preserve"> 2013 giving the number of claimants at each office from </w:t>
      </w:r>
      <w:r w:rsidR="004B087B">
        <w:rPr>
          <w:rFonts w:ascii="Times New Roman" w:hAnsi="Times New Roman" w:cs="Times New Roman"/>
          <w:sz w:val="24"/>
          <w:szCs w:val="24"/>
        </w:rPr>
        <w:t>March</w:t>
      </w:r>
      <w:r w:rsidR="00030E34">
        <w:rPr>
          <w:rFonts w:ascii="Times New Roman" w:hAnsi="Times New Roman" w:cs="Times New Roman"/>
          <w:sz w:val="24"/>
          <w:szCs w:val="24"/>
        </w:rPr>
        <w:t xml:space="preserve"> 2008 to 21 October 2012</w:t>
      </w:r>
      <w:r w:rsidRPr="00C1731E">
        <w:rPr>
          <w:rFonts w:ascii="Times New Roman" w:hAnsi="Times New Roman" w:cs="Times New Roman"/>
          <w:sz w:val="24"/>
          <w:szCs w:val="24"/>
        </w:rPr>
        <w:t>, the DWP has stated a number of provisos:</w:t>
      </w:r>
    </w:p>
    <w:p w:rsidR="00C1731E" w:rsidRPr="00C1731E" w:rsidRDefault="00C1731E" w:rsidP="00C1731E">
      <w:pPr>
        <w:rPr>
          <w:rFonts w:ascii="Times New Roman" w:hAnsi="Times New Roman" w:cs="Times New Roman"/>
          <w:sz w:val="24"/>
          <w:szCs w:val="24"/>
        </w:rPr>
      </w:pPr>
    </w:p>
    <w:p w:rsidR="00C1731E" w:rsidRPr="00C1731E" w:rsidRDefault="00C1731E" w:rsidP="00C1731E">
      <w:pPr>
        <w:pStyle w:val="ListParagraph"/>
        <w:numPr>
          <w:ilvl w:val="0"/>
          <w:numId w:val="6"/>
        </w:numPr>
        <w:rPr>
          <w:rFonts w:ascii="Times New Roman" w:hAnsi="Times New Roman" w:cs="Times New Roman"/>
          <w:i/>
          <w:sz w:val="24"/>
          <w:szCs w:val="24"/>
        </w:rPr>
      </w:pPr>
      <w:r w:rsidRPr="00C1731E">
        <w:rPr>
          <w:rFonts w:ascii="Times New Roman" w:hAnsi="Times New Roman" w:cs="Times New Roman"/>
          <w:i/>
          <w:sz w:val="24"/>
          <w:szCs w:val="24"/>
        </w:rPr>
        <w:t>The figures have not been quality assured to National Statistics or Official Statistics publication standard</w:t>
      </w:r>
      <w:r w:rsidRPr="00C1731E">
        <w:rPr>
          <w:rFonts w:ascii="Times New Roman" w:hAnsi="Times New Roman" w:cs="Times New Roman"/>
          <w:sz w:val="24"/>
          <w:szCs w:val="24"/>
        </w:rPr>
        <w:t xml:space="preserve">. </w:t>
      </w:r>
    </w:p>
    <w:p w:rsidR="00C1731E" w:rsidRPr="00AA4350" w:rsidRDefault="00C1731E" w:rsidP="00C1731E">
      <w:pPr>
        <w:pStyle w:val="ListParagraph"/>
        <w:numPr>
          <w:ilvl w:val="0"/>
          <w:numId w:val="6"/>
        </w:numPr>
        <w:rPr>
          <w:rFonts w:ascii="Times New Roman" w:hAnsi="Times New Roman" w:cs="Times New Roman"/>
          <w:i/>
          <w:sz w:val="24"/>
          <w:szCs w:val="24"/>
        </w:rPr>
      </w:pPr>
      <w:r w:rsidRPr="00AA4350">
        <w:rPr>
          <w:rFonts w:ascii="Times New Roman" w:hAnsi="Times New Roman" w:cs="Times New Roman"/>
          <w:i/>
          <w:sz w:val="24"/>
          <w:szCs w:val="24"/>
        </w:rPr>
        <w:t>They have been created by matching data derived from the Jobseeker’s Allowance</w:t>
      </w:r>
    </w:p>
    <w:p w:rsidR="00C1731E" w:rsidRDefault="00C1731E" w:rsidP="00C1731E">
      <w:pPr>
        <w:ind w:left="1080"/>
        <w:rPr>
          <w:rFonts w:ascii="Times New Roman" w:hAnsi="Times New Roman" w:cs="Times New Roman"/>
          <w:sz w:val="24"/>
          <w:szCs w:val="24"/>
        </w:rPr>
      </w:pPr>
      <w:proofErr w:type="gramStart"/>
      <w:r w:rsidRPr="00AA4350">
        <w:rPr>
          <w:rFonts w:ascii="Times New Roman" w:hAnsi="Times New Roman" w:cs="Times New Roman"/>
          <w:i/>
          <w:sz w:val="24"/>
          <w:szCs w:val="24"/>
        </w:rPr>
        <w:t>Payment System (JSAPS) and the Labour Market System (LMS).</w:t>
      </w:r>
      <w:proofErr w:type="gramEnd"/>
      <w:r w:rsidRPr="00AA4350">
        <w:rPr>
          <w:rFonts w:ascii="Times New Roman" w:hAnsi="Times New Roman" w:cs="Times New Roman"/>
          <w:i/>
          <w:sz w:val="24"/>
          <w:szCs w:val="24"/>
        </w:rPr>
        <w:t xml:space="preserve"> These systems are</w:t>
      </w:r>
      <w:r>
        <w:rPr>
          <w:rFonts w:ascii="Times New Roman" w:hAnsi="Times New Roman" w:cs="Times New Roman"/>
          <w:i/>
          <w:sz w:val="24"/>
          <w:szCs w:val="24"/>
        </w:rPr>
        <w:t xml:space="preserve"> </w:t>
      </w:r>
      <w:r w:rsidRPr="00AA4350">
        <w:rPr>
          <w:rFonts w:ascii="Times New Roman" w:hAnsi="Times New Roman" w:cs="Times New Roman"/>
          <w:i/>
          <w:sz w:val="24"/>
          <w:szCs w:val="24"/>
        </w:rPr>
        <w:t>used to administer the claim process and are subject to user imputation errors.</w:t>
      </w:r>
      <w:r>
        <w:rPr>
          <w:rFonts w:ascii="Times New Roman" w:hAnsi="Times New Roman" w:cs="Times New Roman"/>
          <w:i/>
          <w:sz w:val="24"/>
          <w:szCs w:val="24"/>
        </w:rPr>
        <w:t xml:space="preserve"> </w:t>
      </w:r>
      <w:r w:rsidRPr="00AA4350">
        <w:rPr>
          <w:rFonts w:ascii="Times New Roman" w:hAnsi="Times New Roman" w:cs="Times New Roman"/>
          <w:i/>
          <w:sz w:val="24"/>
          <w:szCs w:val="24"/>
        </w:rPr>
        <w:t xml:space="preserve">Therefore matching between these two data sources can result in incorrect </w:t>
      </w:r>
      <w:r w:rsidRPr="00AA4350">
        <w:rPr>
          <w:rFonts w:ascii="Times New Roman" w:hAnsi="Times New Roman" w:cs="Times New Roman"/>
          <w:i/>
          <w:sz w:val="24"/>
          <w:szCs w:val="24"/>
        </w:rPr>
        <w:lastRenderedPageBreak/>
        <w:t xml:space="preserve">or </w:t>
      </w:r>
      <w:proofErr w:type="spellStart"/>
      <w:r w:rsidRPr="00AA4350">
        <w:rPr>
          <w:rFonts w:ascii="Times New Roman" w:hAnsi="Times New Roman" w:cs="Times New Roman"/>
          <w:i/>
          <w:sz w:val="24"/>
          <w:szCs w:val="24"/>
        </w:rPr>
        <w:t>nonmatches</w:t>
      </w:r>
      <w:proofErr w:type="spellEnd"/>
      <w:r w:rsidRPr="00AA4350">
        <w:rPr>
          <w:rFonts w:ascii="Times New Roman" w:hAnsi="Times New Roman" w:cs="Times New Roman"/>
          <w:i/>
          <w:sz w:val="24"/>
          <w:szCs w:val="24"/>
        </w:rPr>
        <w:t>. They should therefore be treated with caution</w:t>
      </w:r>
      <w:r w:rsidRPr="00A17125">
        <w:rPr>
          <w:rFonts w:ascii="Times New Roman" w:hAnsi="Times New Roman" w:cs="Times New Roman"/>
          <w:sz w:val="24"/>
          <w:szCs w:val="24"/>
        </w:rPr>
        <w:t>.</w:t>
      </w:r>
      <w:r>
        <w:rPr>
          <w:rFonts w:ascii="Times New Roman" w:hAnsi="Times New Roman" w:cs="Times New Roman"/>
          <w:sz w:val="24"/>
          <w:szCs w:val="24"/>
        </w:rPr>
        <w:t xml:space="preserve">  My understanding is that it is imputation errors which have caused small numbers of claimants (usually 10, but sometimes 20 or more) to appear at offices which were otherwise dormant. I have ignored these. The presence of these errors implies that the figures generally are not correct to the nearest 10, but have a somewhat wider margin of error. This however is still presumably quite small.</w:t>
      </w:r>
    </w:p>
    <w:p w:rsidR="00C1731E" w:rsidRPr="005A4C60" w:rsidRDefault="00C1731E" w:rsidP="00C1731E">
      <w:pPr>
        <w:pStyle w:val="ListParagraph"/>
        <w:numPr>
          <w:ilvl w:val="0"/>
          <w:numId w:val="6"/>
        </w:numPr>
        <w:rPr>
          <w:rFonts w:ascii="Times New Roman" w:hAnsi="Times New Roman" w:cs="Times New Roman"/>
          <w:i/>
          <w:sz w:val="24"/>
          <w:szCs w:val="24"/>
        </w:rPr>
      </w:pPr>
      <w:r w:rsidRPr="005A4C60">
        <w:rPr>
          <w:rFonts w:ascii="Times New Roman" w:hAnsi="Times New Roman" w:cs="Times New Roman"/>
          <w:i/>
          <w:sz w:val="24"/>
          <w:szCs w:val="24"/>
        </w:rPr>
        <w:t>The number of sanctions and disallowance referrals in each month is taken from the date on which the decision was made. For a number of reasons the claimant may no longer be claiming JSA at this point therefore a dire</w:t>
      </w:r>
      <w:r>
        <w:rPr>
          <w:rFonts w:ascii="Times New Roman" w:hAnsi="Times New Roman" w:cs="Times New Roman"/>
          <w:i/>
          <w:sz w:val="24"/>
          <w:szCs w:val="24"/>
        </w:rPr>
        <w:t>ct comparison may not be valid. T</w:t>
      </w:r>
      <w:r w:rsidRPr="005A4C60">
        <w:rPr>
          <w:rFonts w:ascii="Times New Roman" w:hAnsi="Times New Roman" w:cs="Times New Roman"/>
          <w:i/>
          <w:sz w:val="24"/>
          <w:szCs w:val="24"/>
        </w:rPr>
        <w:t xml:space="preserve">he </w:t>
      </w:r>
      <w:r>
        <w:rPr>
          <w:rFonts w:ascii="Times New Roman" w:hAnsi="Times New Roman" w:cs="Times New Roman"/>
          <w:i/>
          <w:sz w:val="24"/>
          <w:szCs w:val="24"/>
        </w:rPr>
        <w:t xml:space="preserve">ONS </w:t>
      </w:r>
      <w:r w:rsidRPr="005A4C60">
        <w:rPr>
          <w:rFonts w:ascii="Times New Roman" w:hAnsi="Times New Roman" w:cs="Times New Roman"/>
          <w:i/>
          <w:sz w:val="24"/>
          <w:szCs w:val="24"/>
        </w:rPr>
        <w:t>claimant count measures ‘live’ claimants on the second Thursday of the month, whereas DWP JSA statistics measures ‘live’ claimants</w:t>
      </w:r>
    </w:p>
    <w:p w:rsidR="00030E34" w:rsidRDefault="00C1731E" w:rsidP="00030E34">
      <w:pPr>
        <w:pStyle w:val="ListParagraph"/>
        <w:ind w:left="1080"/>
        <w:rPr>
          <w:rFonts w:ascii="Times New Roman" w:hAnsi="Times New Roman" w:cs="Times New Roman"/>
          <w:i/>
          <w:sz w:val="24"/>
          <w:szCs w:val="24"/>
        </w:rPr>
      </w:pPr>
      <w:proofErr w:type="gramStart"/>
      <w:r w:rsidRPr="005A4C60">
        <w:rPr>
          <w:rFonts w:ascii="Times New Roman" w:hAnsi="Times New Roman" w:cs="Times New Roman"/>
          <w:i/>
          <w:sz w:val="24"/>
          <w:szCs w:val="24"/>
        </w:rPr>
        <w:t>on</w:t>
      </w:r>
      <w:proofErr w:type="gramEnd"/>
      <w:r w:rsidRPr="005A4C60">
        <w:rPr>
          <w:rFonts w:ascii="Times New Roman" w:hAnsi="Times New Roman" w:cs="Times New Roman"/>
          <w:i/>
          <w:sz w:val="24"/>
          <w:szCs w:val="24"/>
        </w:rPr>
        <w:t xml:space="preserve"> the last day of the month</w:t>
      </w:r>
      <w:r w:rsidRPr="005A4C60">
        <w:rPr>
          <w:rFonts w:ascii="Times New Roman" w:hAnsi="Times New Roman" w:cs="Times New Roman"/>
          <w:sz w:val="24"/>
          <w:szCs w:val="24"/>
        </w:rPr>
        <w:t>. To ensure that any timing issues are negligible, the analysis here relates to quarters rather than individual months.</w:t>
      </w:r>
      <w:r w:rsidRPr="00C1731E">
        <w:rPr>
          <w:rFonts w:ascii="Times New Roman" w:hAnsi="Times New Roman" w:cs="Times New Roman"/>
          <w:i/>
          <w:sz w:val="24"/>
          <w:szCs w:val="24"/>
        </w:rPr>
        <w:t xml:space="preserve"> </w:t>
      </w:r>
    </w:p>
    <w:p w:rsidR="00C1731E" w:rsidRPr="000E2842" w:rsidRDefault="00C1731E" w:rsidP="00030E34">
      <w:pPr>
        <w:pStyle w:val="ListParagraph"/>
        <w:numPr>
          <w:ilvl w:val="0"/>
          <w:numId w:val="6"/>
        </w:numPr>
        <w:rPr>
          <w:rFonts w:ascii="Times New Roman" w:hAnsi="Times New Roman" w:cs="Times New Roman"/>
          <w:sz w:val="24"/>
          <w:szCs w:val="24"/>
        </w:rPr>
      </w:pPr>
      <w:r w:rsidRPr="008508D2">
        <w:rPr>
          <w:rFonts w:ascii="Times New Roman" w:hAnsi="Times New Roman" w:cs="Times New Roman"/>
          <w:i/>
          <w:sz w:val="24"/>
          <w:szCs w:val="24"/>
        </w:rPr>
        <w:t>DWP JSA statistics only include computer processed claims. This is in contrast to the ONS claimant count, which includes claims which are processed clerically. The DWP JSA statistics allow at least 9 weeks for late processed claims to be input onto the DWP computer systems, whereas the ONS claimant count statistics only allow approximately 3 weeks.</w:t>
      </w:r>
      <w:r>
        <w:rPr>
          <w:rFonts w:ascii="Times New Roman" w:hAnsi="Times New Roman" w:cs="Times New Roman"/>
          <w:sz w:val="24"/>
          <w:szCs w:val="24"/>
        </w:rPr>
        <w:t xml:space="preserve"> </w:t>
      </w:r>
      <w:r w:rsidRPr="000E2842">
        <w:rPr>
          <w:rFonts w:ascii="Times New Roman" w:hAnsi="Times New Roman" w:cs="Times New Roman"/>
          <w:sz w:val="24"/>
          <w:szCs w:val="24"/>
        </w:rPr>
        <w:t>At Great Britain level</w:t>
      </w:r>
      <w:r w:rsidR="00C008AE" w:rsidRPr="00C008AE">
        <w:rPr>
          <w:rFonts w:ascii="Times New Roman" w:hAnsi="Times New Roman" w:cs="Times New Roman"/>
          <w:sz w:val="24"/>
          <w:szCs w:val="24"/>
        </w:rPr>
        <w:t xml:space="preserve"> </w:t>
      </w:r>
      <w:r w:rsidR="00C008AE" w:rsidRPr="000E2842">
        <w:rPr>
          <w:rFonts w:ascii="Times New Roman" w:hAnsi="Times New Roman" w:cs="Times New Roman"/>
          <w:sz w:val="24"/>
          <w:szCs w:val="24"/>
        </w:rPr>
        <w:t>over the period March 2008 to October 2012</w:t>
      </w:r>
      <w:r w:rsidRPr="000E2842">
        <w:rPr>
          <w:rFonts w:ascii="Times New Roman" w:hAnsi="Times New Roman" w:cs="Times New Roman"/>
          <w:sz w:val="24"/>
          <w:szCs w:val="24"/>
        </w:rPr>
        <w:t xml:space="preserve">, the </w:t>
      </w:r>
      <w:r w:rsidR="00C008AE">
        <w:rPr>
          <w:rFonts w:ascii="Times New Roman" w:hAnsi="Times New Roman" w:cs="Times New Roman"/>
          <w:sz w:val="24"/>
          <w:szCs w:val="24"/>
        </w:rPr>
        <w:t>NOMIS (ONS) claimant total is about 2% greater than the</w:t>
      </w:r>
      <w:r w:rsidRPr="000E2842">
        <w:rPr>
          <w:rFonts w:ascii="Times New Roman" w:hAnsi="Times New Roman" w:cs="Times New Roman"/>
          <w:sz w:val="24"/>
          <w:szCs w:val="24"/>
        </w:rPr>
        <w:t xml:space="preserve"> DWP </w:t>
      </w:r>
      <w:r w:rsidR="00C008AE">
        <w:rPr>
          <w:rFonts w:ascii="Times New Roman" w:hAnsi="Times New Roman" w:cs="Times New Roman"/>
          <w:sz w:val="24"/>
          <w:szCs w:val="24"/>
        </w:rPr>
        <w:t>total</w:t>
      </w:r>
      <w:r w:rsidRPr="000E2842">
        <w:rPr>
          <w:rFonts w:ascii="Times New Roman" w:hAnsi="Times New Roman" w:cs="Times New Roman"/>
          <w:sz w:val="24"/>
          <w:szCs w:val="24"/>
        </w:rPr>
        <w:t xml:space="preserve">. </w:t>
      </w:r>
      <w:r w:rsidR="00C008AE">
        <w:rPr>
          <w:rFonts w:ascii="Times New Roman" w:hAnsi="Times New Roman" w:cs="Times New Roman"/>
          <w:sz w:val="24"/>
          <w:szCs w:val="24"/>
        </w:rPr>
        <w:t>This</w:t>
      </w:r>
      <w:r w:rsidRPr="000E2842">
        <w:rPr>
          <w:rFonts w:ascii="Times New Roman" w:hAnsi="Times New Roman" w:cs="Times New Roman"/>
          <w:sz w:val="24"/>
          <w:szCs w:val="24"/>
        </w:rPr>
        <w:t xml:space="preserve"> difference would not matter very much if every Jobcentre had the same proportion of total claims processed by computer. But this does not seem likely, nor does it appear to be the case. I established from NOMIS, who publish the ONS claimant figures online, that the last time they made changes to their Jobcentre boundaries was in May 2008. I then made a comparison between the DWP </w:t>
      </w:r>
      <w:proofErr w:type="spellStart"/>
      <w:r w:rsidRPr="000E2842">
        <w:rPr>
          <w:rFonts w:ascii="Times New Roman" w:hAnsi="Times New Roman" w:cs="Times New Roman"/>
          <w:sz w:val="24"/>
          <w:szCs w:val="24"/>
        </w:rPr>
        <w:t>FoI</w:t>
      </w:r>
      <w:proofErr w:type="spellEnd"/>
      <w:r w:rsidRPr="000E2842">
        <w:rPr>
          <w:rFonts w:ascii="Times New Roman" w:hAnsi="Times New Roman" w:cs="Times New Roman"/>
          <w:sz w:val="24"/>
          <w:szCs w:val="24"/>
        </w:rPr>
        <w:t xml:space="preserve"> caseload figures and the NOMIS claimant figures for </w:t>
      </w:r>
      <w:r w:rsidR="00C008AE">
        <w:rPr>
          <w:rFonts w:ascii="Times New Roman" w:hAnsi="Times New Roman" w:cs="Times New Roman"/>
          <w:sz w:val="24"/>
          <w:szCs w:val="24"/>
        </w:rPr>
        <w:t xml:space="preserve">individual Jobcentres in </w:t>
      </w:r>
      <w:r w:rsidRPr="000E2842">
        <w:rPr>
          <w:rFonts w:ascii="Times New Roman" w:hAnsi="Times New Roman" w:cs="Times New Roman"/>
          <w:sz w:val="24"/>
          <w:szCs w:val="24"/>
        </w:rPr>
        <w:t>March-May 2008. It was not possible to match up all the Jobcentres. However, it is likely that the great majority of them had the same boundaries during these three months. The comparison shows that the ratio of the DWP to the NOMIS figure varied quite widely</w:t>
      </w:r>
      <w:r w:rsidR="004B087B">
        <w:rPr>
          <w:rFonts w:ascii="Times New Roman" w:hAnsi="Times New Roman" w:cs="Times New Roman"/>
          <w:sz w:val="24"/>
          <w:szCs w:val="24"/>
        </w:rPr>
        <w:t xml:space="preserve"> between offices</w:t>
      </w:r>
      <w:r w:rsidRPr="000E2842">
        <w:rPr>
          <w:rFonts w:ascii="Times New Roman" w:hAnsi="Times New Roman" w:cs="Times New Roman"/>
          <w:sz w:val="24"/>
          <w:szCs w:val="24"/>
        </w:rPr>
        <w:t xml:space="preserve">. The median ratio was 0.94 or 0.95 and the </w:t>
      </w:r>
      <w:proofErr w:type="spellStart"/>
      <w:r w:rsidRPr="000E2842">
        <w:rPr>
          <w:rFonts w:ascii="Times New Roman" w:hAnsi="Times New Roman" w:cs="Times New Roman"/>
          <w:sz w:val="24"/>
          <w:szCs w:val="24"/>
        </w:rPr>
        <w:t>interquartile</w:t>
      </w:r>
      <w:proofErr w:type="spellEnd"/>
      <w:r w:rsidRPr="000E2842">
        <w:rPr>
          <w:rFonts w:ascii="Times New Roman" w:hAnsi="Times New Roman" w:cs="Times New Roman"/>
          <w:sz w:val="24"/>
          <w:szCs w:val="24"/>
        </w:rPr>
        <w:t xml:space="preserve"> range was 0.06 or 0.07. In other words there were a lot of Jobcentres where the undercount of claimants was 6% or 7% greater than in a lot of other Jobcentres</w:t>
      </w:r>
      <w:r w:rsidR="00414353">
        <w:rPr>
          <w:rFonts w:ascii="Times New Roman" w:hAnsi="Times New Roman" w:cs="Times New Roman"/>
          <w:sz w:val="24"/>
          <w:szCs w:val="24"/>
        </w:rPr>
        <w:t>, and some where the difference was even bigger</w:t>
      </w:r>
      <w:r w:rsidRPr="000E2842">
        <w:rPr>
          <w:rFonts w:ascii="Times New Roman" w:hAnsi="Times New Roman" w:cs="Times New Roman"/>
          <w:sz w:val="24"/>
          <w:szCs w:val="24"/>
        </w:rPr>
        <w:t xml:space="preserve">. </w:t>
      </w:r>
      <w:r w:rsidR="00C008AE">
        <w:rPr>
          <w:rFonts w:ascii="Times New Roman" w:hAnsi="Times New Roman" w:cs="Times New Roman"/>
          <w:sz w:val="24"/>
          <w:szCs w:val="24"/>
        </w:rPr>
        <w:t xml:space="preserve">This problem presumably </w:t>
      </w:r>
      <w:r w:rsidR="00483FE7">
        <w:rPr>
          <w:rFonts w:ascii="Times New Roman" w:hAnsi="Times New Roman" w:cs="Times New Roman"/>
          <w:sz w:val="24"/>
          <w:szCs w:val="24"/>
        </w:rPr>
        <w:t xml:space="preserve">also </w:t>
      </w:r>
      <w:r w:rsidR="00C008AE">
        <w:rPr>
          <w:rFonts w:ascii="Times New Roman" w:hAnsi="Times New Roman" w:cs="Times New Roman"/>
          <w:sz w:val="24"/>
          <w:szCs w:val="24"/>
        </w:rPr>
        <w:t xml:space="preserve">affects the DWP’s </w:t>
      </w:r>
      <w:r w:rsidR="003D03A0">
        <w:rPr>
          <w:rFonts w:ascii="Times New Roman" w:hAnsi="Times New Roman" w:cs="Times New Roman"/>
          <w:sz w:val="24"/>
          <w:szCs w:val="24"/>
        </w:rPr>
        <w:t xml:space="preserve">own </w:t>
      </w:r>
      <w:r w:rsidR="00C008AE">
        <w:rPr>
          <w:rFonts w:ascii="Times New Roman" w:hAnsi="Times New Roman" w:cs="Times New Roman"/>
          <w:sz w:val="24"/>
          <w:szCs w:val="24"/>
        </w:rPr>
        <w:t>internal management information.</w:t>
      </w:r>
    </w:p>
    <w:p w:rsidR="00C1731E" w:rsidRDefault="00C1731E" w:rsidP="00C1731E">
      <w:pPr>
        <w:pStyle w:val="ListParagraph"/>
        <w:ind w:left="0"/>
        <w:rPr>
          <w:rFonts w:ascii="Times New Roman" w:hAnsi="Times New Roman" w:cs="Times New Roman"/>
          <w:sz w:val="24"/>
          <w:szCs w:val="24"/>
        </w:rPr>
      </w:pPr>
    </w:p>
    <w:p w:rsidR="00437571" w:rsidRDefault="00437571" w:rsidP="00437571">
      <w:pPr>
        <w:pStyle w:val="ListParagraph"/>
        <w:ind w:left="1080"/>
        <w:rPr>
          <w:rFonts w:ascii="Times New Roman" w:hAnsi="Times New Roman" w:cs="Times New Roman"/>
          <w:sz w:val="24"/>
          <w:szCs w:val="24"/>
        </w:rPr>
      </w:pPr>
    </w:p>
    <w:p w:rsidR="00991E57" w:rsidRDefault="00991E57" w:rsidP="00991E57">
      <w:pPr>
        <w:rPr>
          <w:rFonts w:ascii="Times New Roman" w:hAnsi="Times New Roman" w:cs="Times New Roman"/>
          <w:sz w:val="24"/>
          <w:szCs w:val="24"/>
        </w:rPr>
      </w:pPr>
    </w:p>
    <w:p w:rsidR="00991E57" w:rsidRDefault="00991E57" w:rsidP="00DD1C75">
      <w:pPr>
        <w:pStyle w:val="ListParagraph"/>
        <w:ind w:left="0"/>
        <w:rPr>
          <w:rFonts w:ascii="Times New Roman" w:hAnsi="Times New Roman" w:cs="Times New Roman"/>
          <w:sz w:val="24"/>
          <w:szCs w:val="24"/>
        </w:rPr>
        <w:sectPr w:rsidR="00991E57" w:rsidSect="0024650F">
          <w:headerReference w:type="default" r:id="rId10"/>
          <w:endnotePr>
            <w:numFmt w:val="decimal"/>
          </w:endnotePr>
          <w:type w:val="continuous"/>
          <w:pgSz w:w="11906" w:h="16838"/>
          <w:pgMar w:top="1440" w:right="1440" w:bottom="1440" w:left="1440" w:header="708" w:footer="708" w:gutter="0"/>
          <w:cols w:space="708"/>
          <w:titlePg/>
          <w:docGrid w:linePitch="360"/>
        </w:sectPr>
      </w:pPr>
    </w:p>
    <w:p w:rsidR="00A05094" w:rsidRDefault="00A05094" w:rsidP="00DD1C75">
      <w:pPr>
        <w:pStyle w:val="ListParagraph"/>
        <w:ind w:left="0"/>
        <w:rPr>
          <w:rFonts w:ascii="Times New Roman" w:hAnsi="Times New Roman" w:cs="Times New Roman"/>
          <w:b/>
          <w:sz w:val="20"/>
          <w:szCs w:val="20"/>
        </w:rPr>
      </w:pPr>
    </w:p>
    <w:p w:rsidR="004644C4" w:rsidRDefault="004644C4" w:rsidP="00DD1C75">
      <w:pPr>
        <w:pStyle w:val="ListParagraph"/>
        <w:ind w:left="0"/>
        <w:rPr>
          <w:rFonts w:ascii="Times New Roman" w:hAnsi="Times New Roman" w:cs="Times New Roman"/>
          <w:b/>
          <w:sz w:val="24"/>
          <w:szCs w:val="24"/>
        </w:rPr>
      </w:pPr>
    </w:p>
    <w:p w:rsidR="00644847" w:rsidRPr="00A05094" w:rsidRDefault="00BF6E81" w:rsidP="00DD1C75">
      <w:pPr>
        <w:pStyle w:val="ListParagraph"/>
        <w:ind w:left="0"/>
        <w:rPr>
          <w:rFonts w:ascii="Times New Roman" w:hAnsi="Times New Roman" w:cs="Times New Roman"/>
          <w:b/>
          <w:sz w:val="24"/>
          <w:szCs w:val="24"/>
        </w:rPr>
      </w:pPr>
      <w:r w:rsidRPr="00A05094">
        <w:rPr>
          <w:rFonts w:ascii="Times New Roman" w:hAnsi="Times New Roman" w:cs="Times New Roman"/>
          <w:b/>
          <w:sz w:val="24"/>
          <w:szCs w:val="24"/>
        </w:rPr>
        <w:t>Table 1</w:t>
      </w:r>
    </w:p>
    <w:p w:rsidR="00644847" w:rsidRPr="00A05094" w:rsidRDefault="004A7429" w:rsidP="00DD1C75">
      <w:pPr>
        <w:pStyle w:val="ListParagraph"/>
        <w:ind w:left="0"/>
        <w:rPr>
          <w:rFonts w:ascii="Times New Roman" w:hAnsi="Times New Roman" w:cs="Times New Roman"/>
          <w:b/>
          <w:sz w:val="24"/>
          <w:szCs w:val="24"/>
        </w:rPr>
      </w:pPr>
      <w:r w:rsidRPr="00A05094">
        <w:rPr>
          <w:rFonts w:ascii="Times New Roman" w:hAnsi="Times New Roman" w:cs="Times New Roman"/>
          <w:b/>
          <w:sz w:val="24"/>
          <w:szCs w:val="24"/>
        </w:rPr>
        <w:t xml:space="preserve">REFERRALS </w:t>
      </w:r>
      <w:r w:rsidR="00A05094" w:rsidRPr="00A05094">
        <w:rPr>
          <w:rFonts w:ascii="Times New Roman" w:hAnsi="Times New Roman" w:cs="Times New Roman"/>
          <w:b/>
          <w:sz w:val="24"/>
          <w:szCs w:val="24"/>
        </w:rPr>
        <w:t xml:space="preserve">AND ADVERSE DECISIONS </w:t>
      </w:r>
      <w:r w:rsidRPr="00A05094">
        <w:rPr>
          <w:rFonts w:ascii="Times New Roman" w:hAnsi="Times New Roman" w:cs="Times New Roman"/>
          <w:b/>
          <w:sz w:val="24"/>
          <w:szCs w:val="24"/>
        </w:rPr>
        <w:t xml:space="preserve">as percentage of JSA claimants: Correlations with </w:t>
      </w:r>
      <w:r w:rsidR="00037F7B">
        <w:rPr>
          <w:rFonts w:ascii="Times New Roman" w:hAnsi="Times New Roman" w:cs="Times New Roman"/>
          <w:b/>
          <w:sz w:val="24"/>
          <w:szCs w:val="24"/>
        </w:rPr>
        <w:t xml:space="preserve">local </w:t>
      </w:r>
      <w:r w:rsidRPr="00A05094">
        <w:rPr>
          <w:rFonts w:ascii="Times New Roman" w:hAnsi="Times New Roman" w:cs="Times New Roman"/>
          <w:b/>
          <w:sz w:val="24"/>
          <w:szCs w:val="24"/>
        </w:rPr>
        <w:t>unemployment rate</w:t>
      </w:r>
    </w:p>
    <w:tbl>
      <w:tblPr>
        <w:tblStyle w:val="TableGrid"/>
        <w:tblW w:w="0" w:type="auto"/>
        <w:tblLook w:val="04A0"/>
      </w:tblPr>
      <w:tblGrid>
        <w:gridCol w:w="3662"/>
        <w:gridCol w:w="1670"/>
        <w:gridCol w:w="1834"/>
        <w:gridCol w:w="1670"/>
        <w:gridCol w:w="1834"/>
        <w:gridCol w:w="1670"/>
        <w:gridCol w:w="1834"/>
      </w:tblGrid>
      <w:tr w:rsidR="00037F7B" w:rsidRPr="00A05094" w:rsidTr="0039184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gridSpan w:val="2"/>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i/>
                <w:sz w:val="24"/>
                <w:szCs w:val="24"/>
              </w:rPr>
              <w:t>Guardian</w:t>
            </w:r>
            <w:r w:rsidRPr="00163159">
              <w:rPr>
                <w:rFonts w:ascii="Times New Roman" w:hAnsi="Times New Roman" w:cs="Times New Roman"/>
                <w:b/>
                <w:sz w:val="24"/>
                <w:szCs w:val="24"/>
              </w:rPr>
              <w:t xml:space="preserve"> analysis, †</w:t>
            </w:r>
          </w:p>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Local authorities cumulative</w:t>
            </w:r>
          </w:p>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 xml:space="preserve">Apr 2000-Oct 2010 </w:t>
            </w:r>
          </w:p>
        </w:tc>
        <w:tc>
          <w:tcPr>
            <w:tcW w:w="0" w:type="auto"/>
            <w:gridSpan w:val="2"/>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Local authorities cumulative</w:t>
            </w:r>
          </w:p>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Apr 2000-Oct 2012</w:t>
            </w:r>
          </w:p>
        </w:tc>
        <w:tc>
          <w:tcPr>
            <w:tcW w:w="0" w:type="auto"/>
            <w:gridSpan w:val="2"/>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Regions cumulative</w:t>
            </w:r>
          </w:p>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Apr 2000-Oct 2012</w:t>
            </w:r>
          </w:p>
        </w:tc>
      </w:tr>
      <w:tr w:rsidR="00037F7B" w:rsidRPr="00A05094" w:rsidTr="0039184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REFERRALS</w:t>
            </w:r>
          </w:p>
        </w:t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ADVERSE DECISIONS</w:t>
            </w:r>
          </w:p>
        </w:t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REFERRALS</w:t>
            </w:r>
          </w:p>
        </w:t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ADVERSE DECISIONS</w:t>
            </w:r>
          </w:p>
        </w:t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REFERRALS</w:t>
            </w:r>
          </w:p>
        </w:t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ADVERSE DECISIONS</w:t>
            </w:r>
          </w:p>
        </w:tc>
      </w:tr>
      <w:tr w:rsidR="00037F7B" w:rsidRPr="00A05094" w:rsidTr="0039184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ALL SANCTIONS &amp; DISALLOWANCES</w:t>
            </w: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-0.3</w:t>
            </w:r>
            <w:r>
              <w:rPr>
                <w:rFonts w:ascii="Times New Roman" w:hAnsi="Times New Roman" w:cs="Times New Roman"/>
                <w:sz w:val="24"/>
                <w:szCs w:val="24"/>
              </w:rPr>
              <w:t>6***</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-0.0</w:t>
            </w:r>
            <w:r>
              <w:rPr>
                <w:rFonts w:ascii="Times New Roman" w:hAnsi="Times New Roman" w:cs="Times New Roman"/>
                <w:sz w:val="24"/>
                <w:szCs w:val="24"/>
              </w:rPr>
              <w:t>5</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-0.35</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+0.21</w:t>
            </w:r>
          </w:p>
        </w:tc>
      </w:tr>
      <w:tr w:rsidR="00037F7B" w:rsidRPr="00A05094" w:rsidTr="0039184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All varied length sanctions</w:t>
            </w: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-0.6</w:t>
            </w:r>
            <w:r>
              <w:rPr>
                <w:rFonts w:ascii="Times New Roman" w:hAnsi="Times New Roman" w:cs="Times New Roman"/>
                <w:sz w:val="24"/>
                <w:szCs w:val="24"/>
              </w:rPr>
              <w:t>1***</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-0.50</w:t>
            </w:r>
            <w:r>
              <w:rPr>
                <w:rFonts w:ascii="Times New Roman" w:hAnsi="Times New Roman" w:cs="Times New Roman"/>
                <w:sz w:val="24"/>
                <w:szCs w:val="24"/>
              </w:rPr>
              <w:t>***</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-0.76</w:t>
            </w:r>
            <w:r>
              <w:rPr>
                <w:rFonts w:ascii="Times New Roman" w:hAnsi="Times New Roman" w:cs="Times New Roman"/>
                <w:sz w:val="24"/>
                <w:szCs w:val="24"/>
              </w:rPr>
              <w:t>**</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-0.69</w:t>
            </w:r>
            <w:r>
              <w:rPr>
                <w:rFonts w:ascii="Times New Roman" w:hAnsi="Times New Roman" w:cs="Times New Roman"/>
                <w:sz w:val="24"/>
                <w:szCs w:val="24"/>
              </w:rPr>
              <w:t>*</w:t>
            </w:r>
          </w:p>
        </w:tc>
      </w:tr>
      <w:tr w:rsidR="00037F7B" w:rsidRPr="00A05094" w:rsidTr="0039184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All fixed length sanctions</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+0.42</w:t>
            </w:r>
            <w:r>
              <w:rPr>
                <w:rFonts w:ascii="Times New Roman" w:hAnsi="Times New Roman" w:cs="Times New Roman"/>
                <w:sz w:val="24"/>
                <w:szCs w:val="24"/>
              </w:rPr>
              <w:t>**</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+0.42</w:t>
            </w:r>
            <w:r>
              <w:rPr>
                <w:rFonts w:ascii="Times New Roman" w:hAnsi="Times New Roman" w:cs="Times New Roman"/>
                <w:sz w:val="24"/>
                <w:szCs w:val="24"/>
              </w:rPr>
              <w:t>**</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+0.3</w:t>
            </w:r>
            <w:r>
              <w:rPr>
                <w:rFonts w:ascii="Times New Roman" w:hAnsi="Times New Roman" w:cs="Times New Roman"/>
                <w:sz w:val="24"/>
                <w:szCs w:val="24"/>
              </w:rPr>
              <w:t>2***</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+0.3</w:t>
            </w:r>
            <w:r>
              <w:rPr>
                <w:rFonts w:ascii="Times New Roman" w:hAnsi="Times New Roman" w:cs="Times New Roman"/>
                <w:sz w:val="24"/>
                <w:szCs w:val="24"/>
              </w:rPr>
              <w:t>1***</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+0.48</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+0.27</w:t>
            </w:r>
          </w:p>
        </w:tc>
      </w:tr>
      <w:tr w:rsidR="00037F7B" w:rsidRPr="00A05094" w:rsidTr="0039184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All entitlement decisions</w:t>
            </w: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+0.0</w:t>
            </w:r>
            <w:r>
              <w:rPr>
                <w:rFonts w:ascii="Times New Roman" w:hAnsi="Times New Roman" w:cs="Times New Roman"/>
                <w:sz w:val="24"/>
                <w:szCs w:val="24"/>
              </w:rPr>
              <w:t>0</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+0.0</w:t>
            </w:r>
            <w:r>
              <w:rPr>
                <w:rFonts w:ascii="Times New Roman" w:hAnsi="Times New Roman" w:cs="Times New Roman"/>
                <w:sz w:val="24"/>
                <w:szCs w:val="24"/>
              </w:rPr>
              <w:t>7</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+0.70</w:t>
            </w:r>
            <w:r>
              <w:rPr>
                <w:rFonts w:ascii="Times New Roman" w:hAnsi="Times New Roman" w:cs="Times New Roman"/>
                <w:sz w:val="24"/>
                <w:szCs w:val="24"/>
              </w:rPr>
              <w:t>*</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+0.65</w:t>
            </w:r>
            <w:r>
              <w:rPr>
                <w:rFonts w:ascii="Times New Roman" w:hAnsi="Times New Roman" w:cs="Times New Roman"/>
                <w:sz w:val="24"/>
                <w:szCs w:val="24"/>
              </w:rPr>
              <w:t>*</w:t>
            </w:r>
          </w:p>
        </w:tc>
      </w:tr>
      <w:tr w:rsidR="00037F7B" w:rsidRPr="00A05094" w:rsidTr="0039184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Voluntary leaving/Misconduct</w:t>
            </w: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-0.59</w:t>
            </w:r>
            <w:r>
              <w:rPr>
                <w:rFonts w:ascii="Times New Roman" w:hAnsi="Times New Roman" w:cs="Times New Roman"/>
                <w:sz w:val="24"/>
                <w:szCs w:val="24"/>
              </w:rPr>
              <w:t>***</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-0.4</w:t>
            </w:r>
            <w:r>
              <w:rPr>
                <w:rFonts w:ascii="Times New Roman" w:hAnsi="Times New Roman" w:cs="Times New Roman"/>
                <w:sz w:val="24"/>
                <w:szCs w:val="24"/>
              </w:rPr>
              <w:t>4***</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-0.62</w:t>
            </w:r>
            <w:r>
              <w:rPr>
                <w:rFonts w:ascii="Times New Roman" w:hAnsi="Times New Roman" w:cs="Times New Roman"/>
                <w:sz w:val="24"/>
                <w:szCs w:val="24"/>
              </w:rPr>
              <w:t>*</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-0.28</w:t>
            </w:r>
          </w:p>
        </w:tc>
      </w:tr>
      <w:tr w:rsidR="00037F7B" w:rsidRPr="00A05094" w:rsidTr="0039184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Neglect to avail of opportunity/Refusal of employment</w:t>
            </w: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-0.4</w:t>
            </w:r>
            <w:r>
              <w:rPr>
                <w:rFonts w:ascii="Times New Roman" w:hAnsi="Times New Roman" w:cs="Times New Roman"/>
                <w:sz w:val="24"/>
                <w:szCs w:val="24"/>
              </w:rPr>
              <w:t>1***</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-0.3</w:t>
            </w:r>
            <w:r>
              <w:rPr>
                <w:rFonts w:ascii="Times New Roman" w:hAnsi="Times New Roman" w:cs="Times New Roman"/>
                <w:sz w:val="24"/>
                <w:szCs w:val="24"/>
              </w:rPr>
              <w:t>7***</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-0.76</w:t>
            </w:r>
            <w:r>
              <w:rPr>
                <w:rFonts w:ascii="Times New Roman" w:hAnsi="Times New Roman" w:cs="Times New Roman"/>
                <w:sz w:val="24"/>
                <w:szCs w:val="24"/>
              </w:rPr>
              <w:t>**</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-0.87</w:t>
            </w:r>
            <w:r>
              <w:rPr>
                <w:rFonts w:ascii="Times New Roman" w:hAnsi="Times New Roman" w:cs="Times New Roman"/>
                <w:sz w:val="24"/>
                <w:szCs w:val="24"/>
              </w:rPr>
              <w:t>***</w:t>
            </w:r>
          </w:p>
        </w:tc>
      </w:tr>
      <w:tr w:rsidR="00037F7B" w:rsidRPr="00A05094" w:rsidTr="0039184C">
        <w:tc>
          <w:tcPr>
            <w:tcW w:w="0" w:type="auto"/>
          </w:tcPr>
          <w:p w:rsidR="00037F7B" w:rsidRPr="00163159" w:rsidRDefault="00037F7B" w:rsidP="0039184C">
            <w:pPr>
              <w:autoSpaceDE w:val="0"/>
              <w:autoSpaceDN w:val="0"/>
              <w:adjustRightInd w:val="0"/>
              <w:rPr>
                <w:rFonts w:ascii="MS Shell Dlg 2" w:hAnsi="MS Shell Dlg 2" w:cs="MS Shell Dlg 2"/>
                <w:b/>
                <w:sz w:val="24"/>
                <w:szCs w:val="24"/>
              </w:rPr>
            </w:pPr>
            <w:r w:rsidRPr="00163159">
              <w:rPr>
                <w:rFonts w:ascii="Times New Roman" w:hAnsi="Times New Roman" w:cs="Times New Roman"/>
                <w:b/>
                <w:sz w:val="24"/>
                <w:szCs w:val="24"/>
              </w:rPr>
              <w:t xml:space="preserve">Failure to attend advisory interview </w:t>
            </w:r>
            <w:r w:rsidRPr="00163159">
              <w:rPr>
                <w:rFonts w:ascii="Traditional Arabic" w:hAnsi="Traditional Arabic" w:cs="Traditional Arabic"/>
                <w:b/>
                <w:sz w:val="24"/>
                <w:szCs w:val="24"/>
              </w:rPr>
              <w:t>§</w:t>
            </w:r>
          </w:p>
          <w:p w:rsidR="00037F7B" w:rsidRPr="00163159" w:rsidRDefault="00037F7B" w:rsidP="0039184C">
            <w:pPr>
              <w:pStyle w:val="ListParagraph"/>
              <w:ind w:left="0"/>
              <w:rPr>
                <w:rFonts w:ascii="Times New Roman" w:hAnsi="Times New Roman" w:cs="Times New Roman"/>
                <w:b/>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8502F0" w:rsidP="0039184C">
            <w:pPr>
              <w:pStyle w:val="ListParagraph"/>
              <w:ind w:left="0"/>
              <w:rPr>
                <w:rFonts w:ascii="Times New Roman" w:hAnsi="Times New Roman" w:cs="Times New Roman"/>
                <w:sz w:val="24"/>
                <w:szCs w:val="24"/>
              </w:rPr>
            </w:pPr>
            <w:r>
              <w:rPr>
                <w:rFonts w:ascii="Times New Roman" w:hAnsi="Times New Roman" w:cs="Times New Roman"/>
                <w:sz w:val="24"/>
                <w:szCs w:val="24"/>
              </w:rPr>
              <w:t>-</w:t>
            </w:r>
            <w:r w:rsidR="00037F7B" w:rsidRPr="00A05094">
              <w:rPr>
                <w:rFonts w:ascii="Times New Roman" w:hAnsi="Times New Roman" w:cs="Times New Roman"/>
                <w:sz w:val="24"/>
                <w:szCs w:val="24"/>
              </w:rPr>
              <w:t>0.0</w:t>
            </w:r>
            <w:r w:rsidR="00037F7B">
              <w:rPr>
                <w:rFonts w:ascii="Times New Roman" w:hAnsi="Times New Roman" w:cs="Times New Roman"/>
                <w:sz w:val="24"/>
                <w:szCs w:val="24"/>
              </w:rPr>
              <w:t>2</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+0.0</w:t>
            </w:r>
            <w:r>
              <w:rPr>
                <w:rFonts w:ascii="Times New Roman" w:hAnsi="Times New Roman" w:cs="Times New Roman"/>
                <w:sz w:val="24"/>
                <w:szCs w:val="24"/>
              </w:rPr>
              <w:t>6</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+0.58</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+0.64</w:t>
            </w:r>
            <w:r>
              <w:rPr>
                <w:rFonts w:ascii="Times New Roman" w:hAnsi="Times New Roman" w:cs="Times New Roman"/>
                <w:sz w:val="24"/>
                <w:szCs w:val="24"/>
              </w:rPr>
              <w:t>*</w:t>
            </w:r>
          </w:p>
        </w:tc>
      </w:tr>
      <w:tr w:rsidR="00037F7B" w:rsidRPr="00A05094" w:rsidTr="0039184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Fixed length sanctions related to training &amp; employment schemes</w:t>
            </w: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+0.42</w:t>
            </w:r>
            <w:r>
              <w:rPr>
                <w:rFonts w:ascii="Times New Roman" w:hAnsi="Times New Roman" w:cs="Times New Roman"/>
                <w:sz w:val="24"/>
                <w:szCs w:val="24"/>
              </w:rPr>
              <w:t>***</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+0.43</w:t>
            </w:r>
            <w:r>
              <w:rPr>
                <w:rFonts w:ascii="Times New Roman" w:hAnsi="Times New Roman" w:cs="Times New Roman"/>
                <w:sz w:val="24"/>
                <w:szCs w:val="24"/>
              </w:rPr>
              <w:t>***</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+0.58</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+0.46</w:t>
            </w:r>
          </w:p>
        </w:tc>
      </w:tr>
      <w:tr w:rsidR="00037F7B" w:rsidRPr="00A05094" w:rsidTr="0039184C">
        <w:tc>
          <w:tcPr>
            <w:tcW w:w="0" w:type="auto"/>
          </w:tcPr>
          <w:p w:rsidR="00037F7B" w:rsidRPr="00163159" w:rsidRDefault="00037F7B" w:rsidP="0039184C">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(Not) Actively seeking work</w:t>
            </w: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+0.0</w:t>
            </w:r>
            <w:r>
              <w:rPr>
                <w:rFonts w:ascii="Times New Roman" w:hAnsi="Times New Roman" w:cs="Times New Roman"/>
                <w:sz w:val="24"/>
                <w:szCs w:val="24"/>
              </w:rPr>
              <w:t>3</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+0.0</w:t>
            </w:r>
            <w:r>
              <w:rPr>
                <w:rFonts w:ascii="Times New Roman" w:hAnsi="Times New Roman" w:cs="Times New Roman"/>
                <w:sz w:val="24"/>
                <w:szCs w:val="24"/>
              </w:rPr>
              <w:t>6</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+0.09</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+0.18</w:t>
            </w:r>
          </w:p>
        </w:tc>
      </w:tr>
      <w:tr w:rsidR="00037F7B" w:rsidRPr="00A05094" w:rsidTr="0039184C">
        <w:tc>
          <w:tcPr>
            <w:tcW w:w="0" w:type="auto"/>
          </w:tcPr>
          <w:p w:rsidR="00037F7B" w:rsidRPr="00163159" w:rsidRDefault="00037F7B" w:rsidP="00037F7B">
            <w:pPr>
              <w:pStyle w:val="ListParagraph"/>
              <w:ind w:left="0"/>
              <w:rPr>
                <w:rFonts w:ascii="Times New Roman" w:hAnsi="Times New Roman" w:cs="Times New Roman"/>
                <w:b/>
                <w:sz w:val="24"/>
                <w:szCs w:val="24"/>
              </w:rPr>
            </w:pPr>
            <w:r w:rsidRPr="00163159">
              <w:rPr>
                <w:rFonts w:ascii="Times New Roman" w:hAnsi="Times New Roman" w:cs="Times New Roman"/>
                <w:b/>
                <w:sz w:val="24"/>
                <w:szCs w:val="24"/>
              </w:rPr>
              <w:t>Entitlement decisions excl</w:t>
            </w:r>
            <w:r>
              <w:rPr>
                <w:rFonts w:ascii="Times New Roman" w:hAnsi="Times New Roman" w:cs="Times New Roman"/>
                <w:b/>
                <w:sz w:val="24"/>
                <w:szCs w:val="24"/>
              </w:rPr>
              <w:t>uding</w:t>
            </w:r>
            <w:r w:rsidRPr="00163159">
              <w:rPr>
                <w:rFonts w:ascii="Times New Roman" w:hAnsi="Times New Roman" w:cs="Times New Roman"/>
                <w:b/>
                <w:sz w:val="24"/>
                <w:szCs w:val="24"/>
              </w:rPr>
              <w:t xml:space="preserve"> Actively Seeking Work &amp; FTA interview</w:t>
            </w: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-0.1</w:t>
            </w:r>
            <w:r>
              <w:rPr>
                <w:rFonts w:ascii="Times New Roman" w:hAnsi="Times New Roman" w:cs="Times New Roman"/>
                <w:sz w:val="24"/>
                <w:szCs w:val="24"/>
              </w:rPr>
              <w:t>4**</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-0.1</w:t>
            </w:r>
            <w:r>
              <w:rPr>
                <w:rFonts w:ascii="Times New Roman" w:hAnsi="Times New Roman" w:cs="Times New Roman"/>
                <w:sz w:val="24"/>
                <w:szCs w:val="24"/>
              </w:rPr>
              <w:t>4**</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+0.20</w:t>
            </w:r>
          </w:p>
        </w:tc>
        <w:tc>
          <w:tcPr>
            <w:tcW w:w="0" w:type="auto"/>
          </w:tcPr>
          <w:p w:rsidR="00037F7B" w:rsidRPr="00A05094" w:rsidRDefault="00037F7B" w:rsidP="0039184C">
            <w:pPr>
              <w:pStyle w:val="ListParagraph"/>
              <w:ind w:left="0"/>
              <w:rPr>
                <w:rFonts w:ascii="Times New Roman" w:hAnsi="Times New Roman" w:cs="Times New Roman"/>
                <w:sz w:val="24"/>
                <w:szCs w:val="24"/>
              </w:rPr>
            </w:pPr>
            <w:r w:rsidRPr="00A05094">
              <w:rPr>
                <w:rFonts w:ascii="Times New Roman" w:hAnsi="Times New Roman" w:cs="Times New Roman"/>
                <w:sz w:val="24"/>
                <w:szCs w:val="24"/>
              </w:rPr>
              <w:t>+0.21</w:t>
            </w:r>
          </w:p>
        </w:tc>
      </w:tr>
    </w:tbl>
    <w:p w:rsidR="00A05094" w:rsidRPr="00A05094" w:rsidRDefault="00A05094" w:rsidP="00A05094">
      <w:pPr>
        <w:rPr>
          <w:rFonts w:ascii="Times New Roman" w:hAnsi="Times New Roman" w:cs="Times New Roman"/>
          <w:sz w:val="24"/>
          <w:szCs w:val="24"/>
        </w:rPr>
      </w:pPr>
      <w:r w:rsidRPr="00A05094">
        <w:rPr>
          <w:rFonts w:ascii="Times New Roman" w:hAnsi="Times New Roman" w:cs="Times New Roman"/>
          <w:sz w:val="24"/>
          <w:szCs w:val="24"/>
        </w:rPr>
        <w:t>†</w:t>
      </w:r>
      <w:r w:rsidRPr="00A05094">
        <w:rPr>
          <w:rFonts w:ascii="Times New Roman" w:hAnsi="Times New Roman" w:cs="Times New Roman"/>
          <w:i/>
          <w:sz w:val="24"/>
          <w:szCs w:val="24"/>
        </w:rPr>
        <w:t>Guardian</w:t>
      </w:r>
      <w:r w:rsidRPr="00A05094">
        <w:rPr>
          <w:rFonts w:ascii="Times New Roman" w:hAnsi="Times New Roman" w:cs="Times New Roman"/>
          <w:sz w:val="24"/>
          <w:szCs w:val="24"/>
        </w:rPr>
        <w:t xml:space="preserve"> analysis altered by the present author as described in the text</w:t>
      </w:r>
    </w:p>
    <w:p w:rsidR="004A7429" w:rsidRPr="00A05094" w:rsidRDefault="00A05094" w:rsidP="00A05094">
      <w:pPr>
        <w:autoSpaceDE w:val="0"/>
        <w:autoSpaceDN w:val="0"/>
        <w:adjustRightInd w:val="0"/>
        <w:rPr>
          <w:rFonts w:ascii="Times New Roman" w:hAnsi="Times New Roman" w:cs="Times New Roman"/>
          <w:sz w:val="24"/>
          <w:szCs w:val="24"/>
        </w:rPr>
      </w:pPr>
      <w:r w:rsidRPr="00A05094">
        <w:rPr>
          <w:rFonts w:ascii="Traditional Arabic" w:hAnsi="Traditional Arabic" w:cs="Traditional Arabic"/>
          <w:sz w:val="24"/>
          <w:szCs w:val="24"/>
        </w:rPr>
        <w:t>§</w:t>
      </w:r>
      <w:r>
        <w:rPr>
          <w:rFonts w:ascii="Traditional Arabic" w:hAnsi="Traditional Arabic" w:cs="Traditional Arabic"/>
          <w:sz w:val="24"/>
          <w:szCs w:val="24"/>
        </w:rPr>
        <w:t xml:space="preserve"> </w:t>
      </w:r>
      <w:r w:rsidR="004A7429" w:rsidRPr="00A05094">
        <w:rPr>
          <w:rFonts w:ascii="Times New Roman" w:hAnsi="Times New Roman" w:cs="Times New Roman"/>
          <w:sz w:val="24"/>
          <w:szCs w:val="24"/>
        </w:rPr>
        <w:t>Apr 2000-Mar 2010: Entitlement decision; Apr 2010-Oct 2012: Fixed length sanction</w:t>
      </w:r>
    </w:p>
    <w:p w:rsidR="004A7429" w:rsidRPr="00A05094" w:rsidRDefault="00E0068B" w:rsidP="00674723">
      <w:pPr>
        <w:rPr>
          <w:rFonts w:ascii="Times New Roman" w:hAnsi="Times New Roman" w:cs="Times New Roman"/>
          <w:sz w:val="24"/>
          <w:szCs w:val="24"/>
        </w:rPr>
      </w:pPr>
      <w:r w:rsidRPr="00A05094">
        <w:rPr>
          <w:rFonts w:ascii="Times New Roman" w:hAnsi="Times New Roman" w:cs="Times New Roman"/>
          <w:sz w:val="24"/>
          <w:szCs w:val="24"/>
        </w:rPr>
        <w:t>Unemployment rate is claimant unemployed as a percentage of residents aged 16-64, average for Apr 2000-Oct 201</w:t>
      </w:r>
      <w:r w:rsidR="00DB59FA">
        <w:rPr>
          <w:rFonts w:ascii="Times New Roman" w:hAnsi="Times New Roman" w:cs="Times New Roman"/>
          <w:sz w:val="24"/>
          <w:szCs w:val="24"/>
        </w:rPr>
        <w:t>2</w:t>
      </w:r>
      <w:r w:rsidRPr="00A05094">
        <w:rPr>
          <w:rFonts w:ascii="Times New Roman" w:hAnsi="Times New Roman" w:cs="Times New Roman"/>
          <w:sz w:val="24"/>
          <w:szCs w:val="24"/>
        </w:rPr>
        <w:t>, supplied by NOMIS</w:t>
      </w:r>
    </w:p>
    <w:p w:rsidR="006A7180" w:rsidRDefault="00AF22A4" w:rsidP="00674723">
      <w:pPr>
        <w:rPr>
          <w:rFonts w:ascii="Times New Roman" w:hAnsi="Times New Roman" w:cs="Times New Roman"/>
          <w:sz w:val="24"/>
          <w:szCs w:val="24"/>
        </w:rPr>
      </w:pPr>
      <w:r w:rsidRPr="00A05094">
        <w:rPr>
          <w:rFonts w:ascii="Times New Roman" w:hAnsi="Times New Roman" w:cs="Times New Roman"/>
          <w:sz w:val="24"/>
          <w:szCs w:val="24"/>
        </w:rPr>
        <w:t xml:space="preserve">* </w:t>
      </w:r>
      <w:proofErr w:type="gramStart"/>
      <w:r w:rsidRPr="00A05094">
        <w:rPr>
          <w:rFonts w:ascii="Times New Roman" w:hAnsi="Times New Roman" w:cs="Times New Roman"/>
          <w:sz w:val="24"/>
          <w:szCs w:val="24"/>
        </w:rPr>
        <w:t>significant</w:t>
      </w:r>
      <w:proofErr w:type="gramEnd"/>
      <w:r w:rsidRPr="00A05094">
        <w:rPr>
          <w:rFonts w:ascii="Times New Roman" w:hAnsi="Times New Roman" w:cs="Times New Roman"/>
          <w:sz w:val="24"/>
          <w:szCs w:val="24"/>
        </w:rPr>
        <w:t xml:space="preserve"> at 0.05 level  ** significant at 0.01 level  *** significant at 0.001 level</w:t>
      </w:r>
      <w:r w:rsidR="008502F0">
        <w:rPr>
          <w:rFonts w:ascii="Times New Roman" w:hAnsi="Times New Roman" w:cs="Times New Roman"/>
          <w:sz w:val="24"/>
          <w:szCs w:val="24"/>
        </w:rPr>
        <w:t xml:space="preserve">         n = 379 (LAs), 11 (Regions)</w:t>
      </w:r>
    </w:p>
    <w:p w:rsidR="00935E92" w:rsidRDefault="00935E92">
      <w:pPr>
        <w:rPr>
          <w:rFonts w:ascii="Times New Roman" w:hAnsi="Times New Roman" w:cs="Times New Roman"/>
          <w:b/>
          <w:sz w:val="24"/>
          <w:szCs w:val="24"/>
        </w:rPr>
      </w:pPr>
    </w:p>
    <w:p w:rsidR="00935E92" w:rsidRDefault="00935E92">
      <w:pPr>
        <w:rPr>
          <w:rFonts w:ascii="Times New Roman" w:hAnsi="Times New Roman" w:cs="Times New Roman"/>
          <w:b/>
          <w:sz w:val="24"/>
          <w:szCs w:val="24"/>
        </w:rPr>
      </w:pPr>
    </w:p>
    <w:p w:rsidR="00935E92" w:rsidRDefault="00935E92">
      <w:pPr>
        <w:rPr>
          <w:rFonts w:ascii="Times New Roman" w:hAnsi="Times New Roman" w:cs="Times New Roman"/>
          <w:b/>
          <w:sz w:val="24"/>
          <w:szCs w:val="24"/>
        </w:rPr>
      </w:pPr>
    </w:p>
    <w:p w:rsidR="00935E92" w:rsidRDefault="00935E92">
      <w:pPr>
        <w:rPr>
          <w:rFonts w:ascii="Times New Roman" w:hAnsi="Times New Roman" w:cs="Times New Roman"/>
          <w:b/>
          <w:sz w:val="24"/>
          <w:szCs w:val="24"/>
        </w:rPr>
      </w:pPr>
    </w:p>
    <w:p w:rsidR="00935E92" w:rsidRPr="008A49A5" w:rsidRDefault="00935E92" w:rsidP="00935E92">
      <w:pPr>
        <w:rPr>
          <w:rFonts w:ascii="Times New Roman" w:hAnsi="Times New Roman" w:cs="Times New Roman"/>
          <w:b/>
          <w:sz w:val="24"/>
          <w:szCs w:val="24"/>
        </w:rPr>
      </w:pPr>
      <w:r w:rsidRPr="008A49A5">
        <w:rPr>
          <w:rFonts w:ascii="Times New Roman" w:hAnsi="Times New Roman" w:cs="Times New Roman"/>
          <w:b/>
          <w:sz w:val="24"/>
          <w:szCs w:val="24"/>
        </w:rPr>
        <w:t>Table 2</w:t>
      </w:r>
    </w:p>
    <w:p w:rsidR="00935E92" w:rsidRPr="008A49A5" w:rsidRDefault="00935E92" w:rsidP="00935E92">
      <w:pPr>
        <w:rPr>
          <w:rFonts w:ascii="Times New Roman" w:hAnsi="Times New Roman" w:cs="Times New Roman"/>
          <w:b/>
          <w:sz w:val="24"/>
          <w:szCs w:val="24"/>
        </w:rPr>
      </w:pPr>
      <w:r w:rsidRPr="008A49A5">
        <w:rPr>
          <w:rFonts w:ascii="Times New Roman" w:hAnsi="Times New Roman" w:cs="Times New Roman"/>
          <w:b/>
          <w:sz w:val="24"/>
          <w:szCs w:val="24"/>
        </w:rPr>
        <w:t>FIXED LENGTH SANCTIONS (excluding Failure to attend interview) by duration of unemployment, April 2000 to October 2012</w:t>
      </w:r>
    </w:p>
    <w:tbl>
      <w:tblPr>
        <w:tblStyle w:val="TableGrid"/>
        <w:tblW w:w="0" w:type="auto"/>
        <w:tblLook w:val="04A0"/>
      </w:tblPr>
      <w:tblGrid>
        <w:gridCol w:w="3110"/>
        <w:gridCol w:w="3142"/>
        <w:gridCol w:w="5276"/>
      </w:tblGrid>
      <w:tr w:rsidR="00935E92" w:rsidTr="0039184C">
        <w:tc>
          <w:tcPr>
            <w:tcW w:w="0" w:type="auto"/>
          </w:tcPr>
          <w:p w:rsidR="00935E92" w:rsidRPr="008A49A5" w:rsidRDefault="00935E92" w:rsidP="0039184C">
            <w:pPr>
              <w:rPr>
                <w:rFonts w:ascii="Times New Roman" w:hAnsi="Times New Roman" w:cs="Times New Roman"/>
                <w:b/>
                <w:sz w:val="24"/>
                <w:szCs w:val="24"/>
              </w:rPr>
            </w:pPr>
          </w:p>
        </w:tc>
        <w:tc>
          <w:tcPr>
            <w:tcW w:w="0" w:type="auto"/>
          </w:tcPr>
          <w:p w:rsidR="00935E92" w:rsidRPr="008A49A5" w:rsidRDefault="00935E92" w:rsidP="0039184C">
            <w:pPr>
              <w:rPr>
                <w:rFonts w:ascii="Times New Roman" w:hAnsi="Times New Roman" w:cs="Times New Roman"/>
                <w:b/>
                <w:sz w:val="24"/>
                <w:szCs w:val="24"/>
              </w:rPr>
            </w:pPr>
            <w:r w:rsidRPr="008A49A5">
              <w:rPr>
                <w:rFonts w:ascii="Times New Roman" w:hAnsi="Times New Roman" w:cs="Times New Roman"/>
                <w:b/>
                <w:sz w:val="24"/>
                <w:szCs w:val="24"/>
              </w:rPr>
              <w:t>Percentage of total sanctions</w:t>
            </w:r>
          </w:p>
        </w:tc>
        <w:tc>
          <w:tcPr>
            <w:tcW w:w="0" w:type="auto"/>
          </w:tcPr>
          <w:p w:rsidR="00935E92" w:rsidRPr="008A49A5" w:rsidRDefault="00935E92" w:rsidP="0039184C">
            <w:pPr>
              <w:rPr>
                <w:rFonts w:ascii="Times New Roman" w:hAnsi="Times New Roman" w:cs="Times New Roman"/>
                <w:b/>
                <w:sz w:val="24"/>
                <w:szCs w:val="24"/>
              </w:rPr>
            </w:pPr>
            <w:r w:rsidRPr="008A49A5">
              <w:rPr>
                <w:rFonts w:ascii="Times New Roman" w:hAnsi="Times New Roman" w:cs="Times New Roman"/>
                <w:b/>
                <w:sz w:val="24"/>
                <w:szCs w:val="24"/>
              </w:rPr>
              <w:t>Sanctions per month as a percentage of claimants</w:t>
            </w:r>
          </w:p>
        </w:tc>
      </w:tr>
      <w:tr w:rsidR="00935E92" w:rsidTr="0039184C">
        <w:tc>
          <w:tcPr>
            <w:tcW w:w="0" w:type="auto"/>
          </w:tcPr>
          <w:p w:rsidR="00935E92" w:rsidRPr="008A49A5" w:rsidRDefault="00935E92" w:rsidP="0039184C">
            <w:pPr>
              <w:rPr>
                <w:rFonts w:ascii="Times New Roman" w:hAnsi="Times New Roman" w:cs="Times New Roman"/>
                <w:b/>
                <w:sz w:val="24"/>
                <w:szCs w:val="24"/>
              </w:rPr>
            </w:pPr>
            <w:r w:rsidRPr="008A49A5">
              <w:rPr>
                <w:rFonts w:ascii="Times New Roman" w:hAnsi="Times New Roman" w:cs="Times New Roman"/>
                <w:b/>
                <w:sz w:val="24"/>
                <w:szCs w:val="24"/>
              </w:rPr>
              <w:t>Total</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100.0</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0.54</w:t>
            </w:r>
          </w:p>
        </w:tc>
      </w:tr>
      <w:tr w:rsidR="00935E92" w:rsidTr="0039184C">
        <w:tc>
          <w:tcPr>
            <w:tcW w:w="0" w:type="auto"/>
          </w:tcPr>
          <w:p w:rsidR="00935E92" w:rsidRPr="008A49A5" w:rsidRDefault="00935E92" w:rsidP="0039184C">
            <w:pPr>
              <w:rPr>
                <w:rFonts w:ascii="Times New Roman" w:hAnsi="Times New Roman" w:cs="Times New Roman"/>
                <w:b/>
                <w:sz w:val="24"/>
                <w:szCs w:val="24"/>
              </w:rPr>
            </w:pPr>
            <w:r w:rsidRPr="008A49A5">
              <w:rPr>
                <w:rFonts w:ascii="Times New Roman" w:hAnsi="Times New Roman" w:cs="Times New Roman"/>
                <w:b/>
                <w:sz w:val="24"/>
                <w:szCs w:val="24"/>
              </w:rPr>
              <w:t>Up to 2 weeks</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6.8</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0.38</w:t>
            </w:r>
          </w:p>
        </w:tc>
      </w:tr>
      <w:tr w:rsidR="00935E92" w:rsidTr="0039184C">
        <w:tc>
          <w:tcPr>
            <w:tcW w:w="0" w:type="auto"/>
          </w:tcPr>
          <w:p w:rsidR="00935E92" w:rsidRPr="008A49A5" w:rsidRDefault="00935E92" w:rsidP="0039184C">
            <w:pPr>
              <w:rPr>
                <w:rFonts w:ascii="Times New Roman" w:hAnsi="Times New Roman" w:cs="Times New Roman"/>
                <w:b/>
                <w:sz w:val="24"/>
                <w:szCs w:val="24"/>
              </w:rPr>
            </w:pPr>
            <w:r w:rsidRPr="008A49A5">
              <w:rPr>
                <w:rFonts w:ascii="Times New Roman" w:hAnsi="Times New Roman" w:cs="Times New Roman"/>
                <w:b/>
                <w:sz w:val="24"/>
                <w:szCs w:val="24"/>
              </w:rPr>
              <w:t>Up to one month</w:t>
            </w:r>
            <w:r>
              <w:rPr>
                <w:rFonts w:ascii="Times New Roman" w:hAnsi="Times New Roman" w:cs="Times New Roman"/>
                <w:b/>
                <w:sz w:val="24"/>
                <w:szCs w:val="24"/>
              </w:rPr>
              <w:t>/four weeks</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8.6</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0.59</w:t>
            </w:r>
          </w:p>
        </w:tc>
      </w:tr>
      <w:tr w:rsidR="00935E92" w:rsidTr="0039184C">
        <w:tc>
          <w:tcPr>
            <w:tcW w:w="0" w:type="auto"/>
          </w:tcPr>
          <w:p w:rsidR="00935E92" w:rsidRPr="008A49A5" w:rsidRDefault="00935E92" w:rsidP="0039184C">
            <w:pPr>
              <w:rPr>
                <w:rFonts w:ascii="Times New Roman" w:hAnsi="Times New Roman" w:cs="Times New Roman"/>
                <w:b/>
                <w:sz w:val="24"/>
                <w:szCs w:val="24"/>
              </w:rPr>
            </w:pPr>
            <w:r w:rsidRPr="008A49A5">
              <w:rPr>
                <w:rFonts w:ascii="Times New Roman" w:hAnsi="Times New Roman" w:cs="Times New Roman"/>
                <w:b/>
                <w:sz w:val="24"/>
                <w:szCs w:val="24"/>
              </w:rPr>
              <w:t>One to three months</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31.1</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0.62</w:t>
            </w:r>
          </w:p>
        </w:tc>
      </w:tr>
      <w:tr w:rsidR="00935E92" w:rsidTr="0039184C">
        <w:tc>
          <w:tcPr>
            <w:tcW w:w="0" w:type="auto"/>
          </w:tcPr>
          <w:p w:rsidR="00935E92" w:rsidRPr="008A49A5" w:rsidRDefault="00935E92" w:rsidP="0039184C">
            <w:pPr>
              <w:rPr>
                <w:rFonts w:ascii="Times New Roman" w:hAnsi="Times New Roman" w:cs="Times New Roman"/>
                <w:b/>
                <w:sz w:val="24"/>
                <w:szCs w:val="24"/>
              </w:rPr>
            </w:pPr>
            <w:r w:rsidRPr="008A49A5">
              <w:rPr>
                <w:rFonts w:ascii="Times New Roman" w:hAnsi="Times New Roman" w:cs="Times New Roman"/>
                <w:b/>
                <w:sz w:val="24"/>
                <w:szCs w:val="24"/>
              </w:rPr>
              <w:t>Three to six months</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11.7</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0.30</w:t>
            </w:r>
          </w:p>
        </w:tc>
      </w:tr>
      <w:tr w:rsidR="00935E92" w:rsidTr="0039184C">
        <w:tc>
          <w:tcPr>
            <w:tcW w:w="0" w:type="auto"/>
          </w:tcPr>
          <w:p w:rsidR="00935E92" w:rsidRPr="008A49A5" w:rsidRDefault="00935E92" w:rsidP="0039184C">
            <w:pPr>
              <w:rPr>
                <w:rFonts w:ascii="Times New Roman" w:hAnsi="Times New Roman" w:cs="Times New Roman"/>
                <w:b/>
                <w:sz w:val="24"/>
                <w:szCs w:val="24"/>
              </w:rPr>
            </w:pPr>
            <w:r w:rsidRPr="008A49A5">
              <w:rPr>
                <w:rFonts w:ascii="Times New Roman" w:hAnsi="Times New Roman" w:cs="Times New Roman"/>
                <w:b/>
                <w:sz w:val="24"/>
                <w:szCs w:val="24"/>
              </w:rPr>
              <w:t>Six months to one year</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15.6</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0.46</w:t>
            </w:r>
          </w:p>
        </w:tc>
      </w:tr>
      <w:tr w:rsidR="00935E92" w:rsidTr="0039184C">
        <w:tc>
          <w:tcPr>
            <w:tcW w:w="0" w:type="auto"/>
          </w:tcPr>
          <w:p w:rsidR="00935E92" w:rsidRPr="008A49A5" w:rsidRDefault="00935E92" w:rsidP="0039184C">
            <w:pPr>
              <w:rPr>
                <w:rFonts w:ascii="Times New Roman" w:hAnsi="Times New Roman" w:cs="Times New Roman"/>
                <w:b/>
                <w:sz w:val="24"/>
                <w:szCs w:val="24"/>
              </w:rPr>
            </w:pPr>
            <w:r w:rsidRPr="008A49A5">
              <w:rPr>
                <w:rFonts w:ascii="Times New Roman" w:hAnsi="Times New Roman" w:cs="Times New Roman"/>
                <w:b/>
                <w:sz w:val="24"/>
                <w:szCs w:val="24"/>
              </w:rPr>
              <w:t>Over one year</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18.8</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0.63</w:t>
            </w:r>
          </w:p>
        </w:tc>
      </w:tr>
      <w:tr w:rsidR="00935E92" w:rsidTr="0039184C">
        <w:tc>
          <w:tcPr>
            <w:tcW w:w="0" w:type="auto"/>
          </w:tcPr>
          <w:p w:rsidR="00935E92" w:rsidRPr="008A49A5" w:rsidRDefault="00935E92" w:rsidP="0039184C">
            <w:pPr>
              <w:rPr>
                <w:rFonts w:ascii="Times New Roman" w:hAnsi="Times New Roman" w:cs="Times New Roman"/>
                <w:b/>
                <w:sz w:val="24"/>
                <w:szCs w:val="24"/>
              </w:rPr>
            </w:pPr>
            <w:r w:rsidRPr="008A49A5">
              <w:rPr>
                <w:rFonts w:ascii="Times New Roman" w:hAnsi="Times New Roman" w:cs="Times New Roman"/>
                <w:b/>
                <w:sz w:val="24"/>
                <w:szCs w:val="24"/>
              </w:rPr>
              <w:t>Unknown</w:t>
            </w:r>
          </w:p>
        </w:tc>
        <w:tc>
          <w:tcPr>
            <w:tcW w:w="0" w:type="auto"/>
            <w:vAlign w:val="center"/>
          </w:tcPr>
          <w:p w:rsidR="00935E92" w:rsidRDefault="00935E92" w:rsidP="0039184C">
            <w:pPr>
              <w:jc w:val="right"/>
              <w:rPr>
                <w:rFonts w:ascii="Times New Roman" w:hAnsi="Times New Roman" w:cs="Times New Roman"/>
                <w:sz w:val="24"/>
                <w:szCs w:val="24"/>
              </w:rPr>
            </w:pPr>
            <w:r>
              <w:rPr>
                <w:rFonts w:ascii="Times New Roman" w:hAnsi="Times New Roman" w:cs="Times New Roman"/>
                <w:sz w:val="24"/>
                <w:szCs w:val="24"/>
              </w:rPr>
              <w:t>7.4</w:t>
            </w:r>
          </w:p>
        </w:tc>
        <w:tc>
          <w:tcPr>
            <w:tcW w:w="0" w:type="auto"/>
            <w:vAlign w:val="center"/>
          </w:tcPr>
          <w:p w:rsidR="00935E92" w:rsidRDefault="00935E92" w:rsidP="0039184C">
            <w:pPr>
              <w:jc w:val="right"/>
              <w:rPr>
                <w:rFonts w:ascii="Times New Roman" w:hAnsi="Times New Roman" w:cs="Times New Roman"/>
                <w:sz w:val="24"/>
                <w:szCs w:val="24"/>
              </w:rPr>
            </w:pP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tc>
      </w:tr>
    </w:tbl>
    <w:p w:rsidR="00935E92" w:rsidRDefault="00935E92" w:rsidP="00935E92">
      <w:pPr>
        <w:rPr>
          <w:rFonts w:ascii="Times New Roman" w:hAnsi="Times New Roman" w:cs="Times New Roman"/>
          <w:sz w:val="24"/>
          <w:szCs w:val="24"/>
        </w:rPr>
      </w:pPr>
      <w:r>
        <w:rPr>
          <w:rFonts w:ascii="Times New Roman" w:hAnsi="Times New Roman" w:cs="Times New Roman"/>
          <w:sz w:val="24"/>
          <w:szCs w:val="24"/>
        </w:rPr>
        <w:t xml:space="preserve">Sources: Sanctions – DWP </w:t>
      </w:r>
      <w:proofErr w:type="spellStart"/>
      <w:r>
        <w:rPr>
          <w:rFonts w:ascii="Times New Roman" w:hAnsi="Times New Roman" w:cs="Times New Roman"/>
          <w:sz w:val="24"/>
          <w:szCs w:val="24"/>
        </w:rPr>
        <w:t>Tabtool</w:t>
      </w:r>
      <w:proofErr w:type="spellEnd"/>
      <w:r>
        <w:rPr>
          <w:rFonts w:ascii="Times New Roman" w:hAnsi="Times New Roman" w:cs="Times New Roman"/>
          <w:sz w:val="24"/>
          <w:szCs w:val="24"/>
        </w:rPr>
        <w:t>; claimants by duration – NOMIS.  DWP uses the category ‘up to one month’ while NOMIS has ‘up to 4 weeks’. This difference has been ignored.</w:t>
      </w:r>
    </w:p>
    <w:p w:rsidR="00935E92" w:rsidRDefault="00935E92">
      <w:pPr>
        <w:rPr>
          <w:rFonts w:ascii="Times New Roman" w:hAnsi="Times New Roman" w:cs="Times New Roman"/>
          <w:b/>
          <w:sz w:val="24"/>
          <w:szCs w:val="24"/>
        </w:rPr>
      </w:pPr>
    </w:p>
    <w:p w:rsidR="00935E92" w:rsidRDefault="00935E92">
      <w:pPr>
        <w:rPr>
          <w:rFonts w:ascii="Times New Roman" w:hAnsi="Times New Roman" w:cs="Times New Roman"/>
          <w:b/>
          <w:sz w:val="24"/>
          <w:szCs w:val="24"/>
        </w:rPr>
      </w:pPr>
    </w:p>
    <w:p w:rsidR="003D03A0" w:rsidRDefault="003D03A0">
      <w:pPr>
        <w:rPr>
          <w:rFonts w:ascii="Times New Roman" w:hAnsi="Times New Roman" w:cs="Times New Roman"/>
          <w:b/>
          <w:sz w:val="24"/>
          <w:szCs w:val="24"/>
        </w:rPr>
      </w:pPr>
      <w:r>
        <w:rPr>
          <w:rFonts w:ascii="Times New Roman" w:hAnsi="Times New Roman" w:cs="Times New Roman"/>
          <w:b/>
          <w:sz w:val="24"/>
          <w:szCs w:val="24"/>
        </w:rPr>
        <w:br w:type="page"/>
      </w:r>
    </w:p>
    <w:p w:rsidR="00935E92" w:rsidRDefault="003D03A0">
      <w:pPr>
        <w:rPr>
          <w:rFonts w:ascii="Times New Roman" w:hAnsi="Times New Roman" w:cs="Times New Roman"/>
          <w:b/>
          <w:sz w:val="24"/>
          <w:szCs w:val="24"/>
        </w:rPr>
      </w:pPr>
      <w:r>
        <w:rPr>
          <w:rFonts w:ascii="Times New Roman" w:hAnsi="Times New Roman" w:cs="Times New Roman"/>
          <w:b/>
          <w:sz w:val="24"/>
          <w:szCs w:val="24"/>
        </w:rPr>
        <w:lastRenderedPageBreak/>
        <w:t>Table 3</w:t>
      </w:r>
    </w:p>
    <w:p w:rsidR="003D03A0" w:rsidRDefault="003D03A0">
      <w:pPr>
        <w:rPr>
          <w:rFonts w:ascii="Times New Roman" w:hAnsi="Times New Roman" w:cs="Times New Roman"/>
          <w:b/>
          <w:sz w:val="24"/>
          <w:szCs w:val="24"/>
        </w:rPr>
      </w:pPr>
      <w:r>
        <w:rPr>
          <w:rFonts w:ascii="Times New Roman" w:hAnsi="Times New Roman" w:cs="Times New Roman"/>
          <w:b/>
          <w:sz w:val="24"/>
          <w:szCs w:val="24"/>
        </w:rPr>
        <w:t>Jobcentre Plus offices: All referrals for sanction/disallowance per month as percentage of claimants, 2008 Q2 to 2012 Q3</w:t>
      </w:r>
    </w:p>
    <w:p w:rsidR="0039184C" w:rsidRDefault="0039184C">
      <w:pPr>
        <w:rPr>
          <w:rFonts w:ascii="Times New Roman" w:hAnsi="Times New Roman" w:cs="Times New Roman"/>
          <w:b/>
          <w:sz w:val="24"/>
          <w:szCs w:val="24"/>
        </w:rPr>
      </w:pPr>
    </w:p>
    <w:tbl>
      <w:tblPr>
        <w:tblStyle w:val="TableGrid"/>
        <w:tblW w:w="0" w:type="auto"/>
        <w:tblLook w:val="04A0"/>
      </w:tblPr>
      <w:tblGrid>
        <w:gridCol w:w="1063"/>
        <w:gridCol w:w="1370"/>
        <w:gridCol w:w="2184"/>
        <w:gridCol w:w="2589"/>
      </w:tblGrid>
      <w:tr w:rsidR="003D03A0" w:rsidTr="003D03A0">
        <w:tc>
          <w:tcPr>
            <w:tcW w:w="0" w:type="auto"/>
          </w:tcPr>
          <w:p w:rsidR="003D03A0" w:rsidRDefault="003D03A0">
            <w:pPr>
              <w:rPr>
                <w:rFonts w:ascii="Times New Roman" w:hAnsi="Times New Roman" w:cs="Times New Roman"/>
                <w:b/>
                <w:sz w:val="24"/>
                <w:szCs w:val="24"/>
              </w:rPr>
            </w:pPr>
          </w:p>
        </w:tc>
        <w:tc>
          <w:tcPr>
            <w:tcW w:w="0" w:type="auto"/>
          </w:tcPr>
          <w:p w:rsidR="003D03A0" w:rsidRDefault="003D03A0">
            <w:pPr>
              <w:rPr>
                <w:rFonts w:ascii="Times New Roman" w:hAnsi="Times New Roman" w:cs="Times New Roman"/>
                <w:b/>
                <w:sz w:val="24"/>
                <w:szCs w:val="24"/>
              </w:rPr>
            </w:pPr>
            <w:r>
              <w:rPr>
                <w:rFonts w:ascii="Times New Roman" w:hAnsi="Times New Roman" w:cs="Times New Roman"/>
                <w:b/>
                <w:sz w:val="24"/>
                <w:szCs w:val="24"/>
              </w:rPr>
              <w:t>Mean</w:t>
            </w:r>
            <w:r w:rsidR="0039184C">
              <w:rPr>
                <w:rFonts w:ascii="Times New Roman" w:hAnsi="Times New Roman" w:cs="Times New Roman"/>
                <w:b/>
                <w:sz w:val="24"/>
                <w:szCs w:val="24"/>
              </w:rPr>
              <w:t xml:space="preserve"> (GB)</w:t>
            </w:r>
          </w:p>
        </w:tc>
        <w:tc>
          <w:tcPr>
            <w:tcW w:w="0" w:type="auto"/>
          </w:tcPr>
          <w:p w:rsidR="003D03A0" w:rsidRDefault="003D03A0">
            <w:pPr>
              <w:rPr>
                <w:rFonts w:ascii="Times New Roman" w:hAnsi="Times New Roman" w:cs="Times New Roman"/>
                <w:b/>
                <w:sz w:val="24"/>
                <w:szCs w:val="24"/>
              </w:rPr>
            </w:pPr>
            <w:r>
              <w:rPr>
                <w:rFonts w:ascii="Times New Roman" w:hAnsi="Times New Roman" w:cs="Times New Roman"/>
                <w:b/>
                <w:sz w:val="24"/>
                <w:szCs w:val="24"/>
              </w:rPr>
              <w:t>Standard deviation</w:t>
            </w:r>
          </w:p>
        </w:tc>
        <w:tc>
          <w:tcPr>
            <w:tcW w:w="0" w:type="auto"/>
          </w:tcPr>
          <w:p w:rsidR="003D03A0" w:rsidRDefault="003D03A0">
            <w:pPr>
              <w:rPr>
                <w:rFonts w:ascii="Times New Roman" w:hAnsi="Times New Roman" w:cs="Times New Roman"/>
                <w:b/>
                <w:sz w:val="24"/>
                <w:szCs w:val="24"/>
              </w:rPr>
            </w:pPr>
            <w:r>
              <w:rPr>
                <w:rFonts w:ascii="Times New Roman" w:hAnsi="Times New Roman" w:cs="Times New Roman"/>
                <w:b/>
                <w:sz w:val="24"/>
                <w:szCs w:val="24"/>
              </w:rPr>
              <w:t>Coefficient of variation</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2008 Q2</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7.88</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3.63</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0.46</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Q3</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7.43</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3.06</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0.41</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Q4</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5.82</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2.36</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0.41</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2009 Q1</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4.82</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2.01</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0.42</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Q2</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4.44</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1.90</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0.43</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Q3</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5.34</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2.42</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0.45</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Q4</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5.71</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2.24</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0.39</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2010 Q1</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6.28</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2.49</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0.40</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Q2</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7.54</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2.59</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0.34</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Q3</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10.2</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3.30</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0.32</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Q4</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10.16</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3.24</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0.32</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2011 Q1</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9.90</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2.94</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0.30</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Q2</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7.56</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2.73</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0.36</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Q3</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6.46</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2.60</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0.40</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Q4</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6.72</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2.48</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0.37</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2012 Q1</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7.96</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2.68</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0.34</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Q2</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9.22</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3.20</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0.35</w:t>
            </w:r>
          </w:p>
        </w:tc>
      </w:tr>
      <w:tr w:rsidR="003D03A0" w:rsidTr="0039184C">
        <w:tc>
          <w:tcPr>
            <w:tcW w:w="0" w:type="auto"/>
            <w:vAlign w:val="center"/>
          </w:tcPr>
          <w:p w:rsidR="003D03A0" w:rsidRDefault="003D03A0" w:rsidP="003D03A0">
            <w:pPr>
              <w:jc w:val="right"/>
              <w:rPr>
                <w:rFonts w:ascii="Times New Roman" w:hAnsi="Times New Roman" w:cs="Times New Roman"/>
                <w:b/>
                <w:sz w:val="24"/>
                <w:szCs w:val="24"/>
              </w:rPr>
            </w:pPr>
            <w:r>
              <w:rPr>
                <w:rFonts w:ascii="Times New Roman" w:hAnsi="Times New Roman" w:cs="Times New Roman"/>
                <w:b/>
                <w:sz w:val="24"/>
                <w:szCs w:val="24"/>
              </w:rPr>
              <w:t>Q3</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10.80</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3.50</w:t>
            </w:r>
          </w:p>
        </w:tc>
        <w:tc>
          <w:tcPr>
            <w:tcW w:w="0" w:type="auto"/>
            <w:vAlign w:val="center"/>
          </w:tcPr>
          <w:p w:rsidR="003D03A0" w:rsidRPr="0039184C" w:rsidRDefault="0039184C" w:rsidP="0039184C">
            <w:pPr>
              <w:jc w:val="right"/>
              <w:rPr>
                <w:rFonts w:ascii="Times New Roman" w:hAnsi="Times New Roman" w:cs="Times New Roman"/>
                <w:sz w:val="24"/>
                <w:szCs w:val="24"/>
              </w:rPr>
            </w:pPr>
            <w:r w:rsidRPr="0039184C">
              <w:rPr>
                <w:rFonts w:ascii="Times New Roman" w:hAnsi="Times New Roman" w:cs="Times New Roman"/>
                <w:sz w:val="24"/>
                <w:szCs w:val="24"/>
              </w:rPr>
              <w:t>0.32</w:t>
            </w:r>
          </w:p>
        </w:tc>
      </w:tr>
    </w:tbl>
    <w:p w:rsidR="003D03A0" w:rsidRPr="0039184C" w:rsidRDefault="0039184C">
      <w:pPr>
        <w:rPr>
          <w:rFonts w:ascii="Times New Roman" w:hAnsi="Times New Roman" w:cs="Times New Roman"/>
          <w:b/>
          <w:sz w:val="24"/>
          <w:szCs w:val="24"/>
        </w:rPr>
      </w:pPr>
      <w:r w:rsidRPr="0039184C">
        <w:rPr>
          <w:rFonts w:ascii="Times New Roman" w:hAnsi="Times New Roman" w:cs="Times New Roman"/>
          <w:sz w:val="24"/>
          <w:szCs w:val="24"/>
        </w:rPr>
        <w:t>Sources: Sanctions &amp; disallowances – DWP spreadsheet</w:t>
      </w:r>
      <w:r w:rsidRPr="0039184C">
        <w:rPr>
          <w:rFonts w:ascii="Times New Roman" w:hAnsi="Times New Roman" w:cs="Times New Roman"/>
          <w:b/>
          <w:sz w:val="24"/>
          <w:szCs w:val="24"/>
        </w:rPr>
        <w:t xml:space="preserve"> </w:t>
      </w:r>
      <w:hyperlink r:id="rId11" w:history="1">
        <w:r w:rsidRPr="0039184C">
          <w:rPr>
            <w:rStyle w:val="Hyperlink"/>
            <w:rFonts w:ascii="Times New Roman" w:hAnsi="Times New Roman" w:cs="Times New Roman"/>
            <w:sz w:val="24"/>
            <w:szCs w:val="24"/>
          </w:rPr>
          <w:t>https://www.gov.uk/government/publications/number-of-jobseekers-allowance-sanctions-and-disallowances-where-a-decision-has-been-made-in-each-month-from-1-april-2000-to-21-october-2012</w:t>
        </w:r>
      </w:hyperlink>
      <w:r w:rsidRPr="0039184C">
        <w:rPr>
          <w:rFonts w:ascii="Times New Roman" w:hAnsi="Times New Roman" w:cs="Times New Roman"/>
          <w:sz w:val="24"/>
          <w:szCs w:val="24"/>
        </w:rPr>
        <w:t xml:space="preserve">, 15 May 2013; claimants – DWP spreadsheet </w:t>
      </w:r>
      <w:hyperlink r:id="rId12" w:history="1">
        <w:r w:rsidRPr="0039184C">
          <w:rPr>
            <w:rStyle w:val="Hyperlink"/>
            <w:rFonts w:ascii="Times New Roman" w:hAnsi="Times New Roman" w:cs="Times New Roman"/>
            <w:sz w:val="24"/>
            <w:szCs w:val="24"/>
          </w:rPr>
          <w:t>https://www.gov.uk/government/publications/jobseekers-allowance-claimants-by-jobcentre-plus-district-from-march-2008-to-october-2012-20132296</w:t>
        </w:r>
      </w:hyperlink>
      <w:r w:rsidRPr="0039184C">
        <w:rPr>
          <w:rFonts w:ascii="Times New Roman" w:hAnsi="Times New Roman" w:cs="Times New Roman"/>
          <w:sz w:val="24"/>
          <w:szCs w:val="24"/>
        </w:rPr>
        <w:t>, 21 June 2013</w:t>
      </w:r>
    </w:p>
    <w:p w:rsidR="00935E92" w:rsidRDefault="00935E92">
      <w:pPr>
        <w:rPr>
          <w:rFonts w:ascii="Times New Roman" w:hAnsi="Times New Roman" w:cs="Times New Roman"/>
          <w:b/>
          <w:sz w:val="24"/>
          <w:szCs w:val="24"/>
        </w:rPr>
      </w:pPr>
    </w:p>
    <w:p w:rsidR="00935E92" w:rsidRDefault="00935E92">
      <w:pPr>
        <w:rPr>
          <w:rFonts w:ascii="Times New Roman" w:hAnsi="Times New Roman" w:cs="Times New Roman"/>
          <w:b/>
          <w:sz w:val="24"/>
          <w:szCs w:val="24"/>
        </w:rPr>
      </w:pPr>
      <w:r>
        <w:rPr>
          <w:rFonts w:ascii="Times New Roman" w:hAnsi="Times New Roman" w:cs="Times New Roman"/>
          <w:b/>
          <w:sz w:val="24"/>
          <w:szCs w:val="24"/>
        </w:rPr>
        <w:br w:type="page"/>
      </w:r>
    </w:p>
    <w:p w:rsidR="00935E92" w:rsidRDefault="00935E92">
      <w:pPr>
        <w:rPr>
          <w:rFonts w:ascii="Times New Roman" w:hAnsi="Times New Roman" w:cs="Times New Roman"/>
          <w:b/>
          <w:sz w:val="24"/>
          <w:szCs w:val="24"/>
        </w:rPr>
      </w:pPr>
    </w:p>
    <w:p w:rsidR="006A7180" w:rsidRPr="006A7180" w:rsidRDefault="006A7180">
      <w:pPr>
        <w:rPr>
          <w:rFonts w:ascii="Times New Roman" w:hAnsi="Times New Roman" w:cs="Times New Roman"/>
          <w:b/>
          <w:sz w:val="24"/>
          <w:szCs w:val="24"/>
        </w:rPr>
      </w:pPr>
      <w:r w:rsidRPr="006A7180">
        <w:rPr>
          <w:rFonts w:ascii="Times New Roman" w:hAnsi="Times New Roman" w:cs="Times New Roman"/>
          <w:b/>
          <w:sz w:val="24"/>
          <w:szCs w:val="24"/>
        </w:rPr>
        <w:t>Figure 1</w:t>
      </w:r>
    </w:p>
    <w:p w:rsidR="006A7180" w:rsidRDefault="006931D0">
      <w:pPr>
        <w:rPr>
          <w:rFonts w:ascii="Times New Roman" w:hAnsi="Times New Roman" w:cs="Times New Roman"/>
          <w:sz w:val="24"/>
          <w:szCs w:val="24"/>
        </w:rPr>
      </w:pPr>
      <w:r w:rsidRPr="006931D0">
        <w:rPr>
          <w:rFonts w:ascii="Times New Roman" w:hAnsi="Times New Roman" w:cs="Times New Roman"/>
          <w:noProof/>
          <w:sz w:val="24"/>
          <w:szCs w:val="24"/>
          <w:lang w:eastAsia="en-GB"/>
        </w:rPr>
        <w:drawing>
          <wp:inline distT="0" distB="0" distL="0" distR="0">
            <wp:extent cx="8658225" cy="485775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7180" w:rsidRDefault="006A7180">
      <w:pPr>
        <w:rPr>
          <w:rFonts w:ascii="Times New Roman" w:hAnsi="Times New Roman" w:cs="Times New Roman"/>
          <w:sz w:val="24"/>
          <w:szCs w:val="24"/>
        </w:rPr>
      </w:pPr>
    </w:p>
    <w:p w:rsidR="00AF22A4" w:rsidRPr="00AF22A4" w:rsidRDefault="00CE06B8" w:rsidP="00674723">
      <w:pPr>
        <w:rPr>
          <w:rFonts w:ascii="Times New Roman" w:hAnsi="Times New Roman" w:cs="Times New Roman"/>
          <w:sz w:val="20"/>
          <w:szCs w:val="20"/>
        </w:rPr>
        <w:sectPr w:rsidR="00AF22A4" w:rsidRPr="00AF22A4" w:rsidSect="00644847">
          <w:endnotePr>
            <w:numFmt w:val="decimal"/>
          </w:endnotePr>
          <w:pgSz w:w="16838" w:h="11906" w:orient="landscape"/>
          <w:pgMar w:top="1440" w:right="1440" w:bottom="1440" w:left="1440" w:header="708" w:footer="708" w:gutter="0"/>
          <w:cols w:space="708"/>
          <w:docGrid w:linePitch="360"/>
        </w:sectPr>
      </w:pPr>
      <w:r>
        <w:rPr>
          <w:rFonts w:ascii="Times New Roman" w:hAnsi="Times New Roman" w:cs="Times New Roman"/>
          <w:sz w:val="24"/>
          <w:szCs w:val="24"/>
        </w:rPr>
        <w:t xml:space="preserve">Source: </w:t>
      </w:r>
      <w:r w:rsidR="00B544AF">
        <w:rPr>
          <w:rFonts w:ascii="Times New Roman" w:hAnsi="Times New Roman" w:cs="Times New Roman"/>
          <w:sz w:val="24"/>
          <w:szCs w:val="24"/>
        </w:rPr>
        <w:t>As Table 3.</w:t>
      </w:r>
      <w:r w:rsidR="006A7180">
        <w:rPr>
          <w:rFonts w:ascii="Times New Roman" w:hAnsi="Times New Roman" w:cs="Times New Roman"/>
          <w:sz w:val="24"/>
          <w:szCs w:val="24"/>
        </w:rPr>
        <w:br w:type="page"/>
      </w:r>
    </w:p>
    <w:p w:rsidR="00644847" w:rsidRDefault="00644847" w:rsidP="00DD1C75">
      <w:pPr>
        <w:pStyle w:val="ListParagraph"/>
        <w:ind w:left="0"/>
        <w:rPr>
          <w:rFonts w:ascii="Times New Roman" w:hAnsi="Times New Roman" w:cs="Times New Roman"/>
          <w:sz w:val="24"/>
          <w:szCs w:val="24"/>
        </w:rPr>
      </w:pPr>
    </w:p>
    <w:p w:rsidR="00644847" w:rsidRDefault="00644847" w:rsidP="00DD1C75">
      <w:pPr>
        <w:pStyle w:val="ListParagraph"/>
        <w:ind w:left="0"/>
        <w:rPr>
          <w:rFonts w:ascii="Times New Roman" w:hAnsi="Times New Roman" w:cs="Times New Roman"/>
          <w:sz w:val="24"/>
          <w:szCs w:val="24"/>
        </w:rPr>
      </w:pPr>
    </w:p>
    <w:p w:rsidR="00E151E0" w:rsidRPr="00DD1C75" w:rsidRDefault="00AF3D9C" w:rsidP="00DD1C7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sectPr w:rsidR="00E151E0" w:rsidRPr="00DD1C75" w:rsidSect="0064484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26C" w:rsidRDefault="0091026C" w:rsidP="000633B9">
      <w:r>
        <w:separator/>
      </w:r>
    </w:p>
  </w:endnote>
  <w:endnote w:type="continuationSeparator" w:id="0">
    <w:p w:rsidR="0091026C" w:rsidRDefault="0091026C" w:rsidP="000633B9">
      <w:r>
        <w:continuationSeparator/>
      </w:r>
    </w:p>
  </w:endnote>
  <w:endnote w:id="1">
    <w:p w:rsidR="0039184C" w:rsidRDefault="0039184C">
      <w:pPr>
        <w:pStyle w:val="EndnoteText"/>
      </w:pPr>
      <w:r>
        <w:rPr>
          <w:rStyle w:val="EndnoteReference"/>
        </w:rPr>
        <w:endnoteRef/>
      </w:r>
      <w:r>
        <w:t xml:space="preserve"> At the time of writing the </w:t>
      </w:r>
      <w:r w:rsidRPr="00747F3D">
        <w:rPr>
          <w:i/>
        </w:rPr>
        <w:t>Guardian</w:t>
      </w:r>
      <w:r>
        <w:t xml:space="preserve"> spreadsheet was still available at </w:t>
      </w:r>
      <w:r w:rsidRPr="000633B9">
        <w:t>https://docs.google.com/spreadsheet/ccc?key=0AonYZs4MzlZbdGNkUEg4czNtdUlsWkJuWWtteGJqZmc&amp;hl=en#gid=0</w:t>
      </w:r>
    </w:p>
  </w:endnote>
  <w:endnote w:id="2">
    <w:p w:rsidR="0039184C" w:rsidRDefault="0039184C">
      <w:pPr>
        <w:pStyle w:val="EndnoteText"/>
      </w:pPr>
      <w:r>
        <w:rPr>
          <w:rStyle w:val="EndnoteReference"/>
        </w:rPr>
        <w:endnoteRef/>
      </w:r>
      <w:r>
        <w:t xml:space="preserve"> The mean number of JSA claimants and the unemployment rate were both provided by NOMIS, the latter using as denominator the number of residents aged 16-64.  It is not possible to obtain an average for the ONS model-based ILO unemployment rate for local authorities over any lengthy period of years because figures are unavailable for many local authorities for many years. </w:t>
      </w:r>
      <w:r w:rsidRPr="00955AA1">
        <w:t>An awkward feature of the Guardian’s analysis is that the composition of fixed length sanctions was not the same throughout the period April 2000 to October 2010. Prior to April 2010, failure to attend an interview (the most common type of sanction) attracted disentitlement. Only from April 2010 were these ‘failure to attend’ cases included within fixed length sanctions.</w:t>
      </w:r>
      <w:r>
        <w:t xml:space="preserve"> It has not been possible to alter this feature of the Guardian’s analysis because the data for April 2000 to October 2010 can no longer be retrieved from the DWP Tabtool.</w:t>
      </w:r>
    </w:p>
  </w:endnote>
  <w:endnote w:id="3">
    <w:p w:rsidR="0039184C" w:rsidRDefault="0039184C">
      <w:pPr>
        <w:pStyle w:val="EndnoteText"/>
      </w:pPr>
      <w:r>
        <w:rPr>
          <w:rStyle w:val="EndnoteReference"/>
        </w:rPr>
        <w:endnoteRef/>
      </w:r>
      <w:r>
        <w:t xml:space="preserve"> Available at </w:t>
      </w:r>
      <w:r w:rsidRPr="00F54FE1">
        <w:t>https://www.gov.uk/government/publications/number-of-jobseekers-allowance-sanctions-and-disallowances-where-a-decision-has-been-made-in-each-month-from-1-april-2000-to-21-october-2012</w:t>
      </w:r>
    </w:p>
  </w:endnote>
  <w:endnote w:id="4">
    <w:p w:rsidR="0039184C" w:rsidRDefault="0039184C">
      <w:pPr>
        <w:pStyle w:val="EndnoteText"/>
      </w:pPr>
      <w:r>
        <w:rPr>
          <w:rStyle w:val="EndnoteReference"/>
        </w:rPr>
        <w:endnoteRef/>
      </w:r>
      <w:r>
        <w:t xml:space="preserve"> Available at </w:t>
      </w:r>
      <w:r w:rsidRPr="00747F3D">
        <w:t>https://www.gov.uk/government/publications/jobseekers-allowance-claimants-by-jobcentre-plus-district-from-march-2008-to-october-2012-20132296</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26C" w:rsidRDefault="0091026C" w:rsidP="000633B9">
      <w:r>
        <w:separator/>
      </w:r>
    </w:p>
  </w:footnote>
  <w:footnote w:type="continuationSeparator" w:id="0">
    <w:p w:rsidR="0091026C" w:rsidRDefault="0091026C" w:rsidP="00063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1020"/>
      <w:docPartObj>
        <w:docPartGallery w:val="Page Numbers (Top of Page)"/>
        <w:docPartUnique/>
      </w:docPartObj>
    </w:sdtPr>
    <w:sdtContent>
      <w:p w:rsidR="0039184C" w:rsidRDefault="007D2CAA">
        <w:pPr>
          <w:pStyle w:val="Header"/>
          <w:jc w:val="center"/>
        </w:pPr>
        <w:fldSimple w:instr=" PAGE   \* MERGEFORMAT ">
          <w:r w:rsidR="00B34DA2">
            <w:rPr>
              <w:noProof/>
            </w:rPr>
            <w:t>14</w:t>
          </w:r>
        </w:fldSimple>
      </w:p>
    </w:sdtContent>
  </w:sdt>
  <w:p w:rsidR="0039184C" w:rsidRDefault="003918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569B0"/>
    <w:multiLevelType w:val="hybridMultilevel"/>
    <w:tmpl w:val="53B60246"/>
    <w:lvl w:ilvl="0" w:tplc="21D437EA">
      <w:start w:val="14"/>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AA517B"/>
    <w:multiLevelType w:val="hybridMultilevel"/>
    <w:tmpl w:val="80468322"/>
    <w:lvl w:ilvl="0" w:tplc="E0B077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C2830E1"/>
    <w:multiLevelType w:val="hybridMultilevel"/>
    <w:tmpl w:val="A9F8F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9B30BB"/>
    <w:multiLevelType w:val="hybridMultilevel"/>
    <w:tmpl w:val="80468322"/>
    <w:lvl w:ilvl="0" w:tplc="E0B077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D03999"/>
    <w:multiLevelType w:val="hybridMultilevel"/>
    <w:tmpl w:val="B88C57CE"/>
    <w:lvl w:ilvl="0" w:tplc="BEDA66D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843E05"/>
    <w:multiLevelType w:val="hybridMultilevel"/>
    <w:tmpl w:val="849E43C6"/>
    <w:lvl w:ilvl="0" w:tplc="EC368DE4">
      <w:start w:val="14"/>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0F27BD5"/>
    <w:multiLevelType w:val="hybridMultilevel"/>
    <w:tmpl w:val="1660DD86"/>
    <w:lvl w:ilvl="0" w:tplc="A7A4D57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54EA8"/>
    <w:multiLevelType w:val="hybridMultilevel"/>
    <w:tmpl w:val="460212C2"/>
    <w:lvl w:ilvl="0" w:tplc="8E0848B2">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C568B0"/>
    <w:rsid w:val="00005EF5"/>
    <w:rsid w:val="00011864"/>
    <w:rsid w:val="00012D42"/>
    <w:rsid w:val="00030E34"/>
    <w:rsid w:val="00037F7B"/>
    <w:rsid w:val="00057D95"/>
    <w:rsid w:val="00061282"/>
    <w:rsid w:val="000633B9"/>
    <w:rsid w:val="00075B1A"/>
    <w:rsid w:val="000C366B"/>
    <w:rsid w:val="000D0B1D"/>
    <w:rsid w:val="000D35F4"/>
    <w:rsid w:val="000E2742"/>
    <w:rsid w:val="000E2842"/>
    <w:rsid w:val="001169FE"/>
    <w:rsid w:val="001354B3"/>
    <w:rsid w:val="00142C4E"/>
    <w:rsid w:val="00152772"/>
    <w:rsid w:val="001544DE"/>
    <w:rsid w:val="00157CC7"/>
    <w:rsid w:val="001609E9"/>
    <w:rsid w:val="00161C3D"/>
    <w:rsid w:val="001815C7"/>
    <w:rsid w:val="001860C8"/>
    <w:rsid w:val="00186C2C"/>
    <w:rsid w:val="0019339E"/>
    <w:rsid w:val="001B2DE1"/>
    <w:rsid w:val="001C13FA"/>
    <w:rsid w:val="001C52B8"/>
    <w:rsid w:val="001D3E02"/>
    <w:rsid w:val="001D6A26"/>
    <w:rsid w:val="001E7B55"/>
    <w:rsid w:val="001F0921"/>
    <w:rsid w:val="001F5374"/>
    <w:rsid w:val="00203E80"/>
    <w:rsid w:val="00212A31"/>
    <w:rsid w:val="00223F2D"/>
    <w:rsid w:val="0024325E"/>
    <w:rsid w:val="0024650F"/>
    <w:rsid w:val="00261021"/>
    <w:rsid w:val="00261FBD"/>
    <w:rsid w:val="00284C89"/>
    <w:rsid w:val="002948F0"/>
    <w:rsid w:val="002E3C54"/>
    <w:rsid w:val="002E4A1F"/>
    <w:rsid w:val="002E78B6"/>
    <w:rsid w:val="00320EEE"/>
    <w:rsid w:val="00325F6C"/>
    <w:rsid w:val="00340BCF"/>
    <w:rsid w:val="00343646"/>
    <w:rsid w:val="0034788F"/>
    <w:rsid w:val="003675F3"/>
    <w:rsid w:val="003737C5"/>
    <w:rsid w:val="003758C0"/>
    <w:rsid w:val="0039184C"/>
    <w:rsid w:val="003A4F3B"/>
    <w:rsid w:val="003D03A0"/>
    <w:rsid w:val="003E6E34"/>
    <w:rsid w:val="003F505F"/>
    <w:rsid w:val="004015C2"/>
    <w:rsid w:val="00405432"/>
    <w:rsid w:val="00405B3E"/>
    <w:rsid w:val="00413573"/>
    <w:rsid w:val="00414353"/>
    <w:rsid w:val="00437571"/>
    <w:rsid w:val="00442FEF"/>
    <w:rsid w:val="00454C5B"/>
    <w:rsid w:val="004570F3"/>
    <w:rsid w:val="004606E7"/>
    <w:rsid w:val="004644C4"/>
    <w:rsid w:val="00467090"/>
    <w:rsid w:val="00483FE7"/>
    <w:rsid w:val="00491344"/>
    <w:rsid w:val="0049415D"/>
    <w:rsid w:val="00496388"/>
    <w:rsid w:val="004A19A5"/>
    <w:rsid w:val="004A24E6"/>
    <w:rsid w:val="004A3B33"/>
    <w:rsid w:val="004A7429"/>
    <w:rsid w:val="004B087B"/>
    <w:rsid w:val="004C0C99"/>
    <w:rsid w:val="004D2F9B"/>
    <w:rsid w:val="004E14E6"/>
    <w:rsid w:val="004F2756"/>
    <w:rsid w:val="004F6E19"/>
    <w:rsid w:val="004F6E98"/>
    <w:rsid w:val="005006B7"/>
    <w:rsid w:val="00506744"/>
    <w:rsid w:val="00511210"/>
    <w:rsid w:val="00551A09"/>
    <w:rsid w:val="005643F6"/>
    <w:rsid w:val="00574247"/>
    <w:rsid w:val="005769C2"/>
    <w:rsid w:val="00587C50"/>
    <w:rsid w:val="005A2329"/>
    <w:rsid w:val="005A4C60"/>
    <w:rsid w:val="005A678D"/>
    <w:rsid w:val="005A6A6C"/>
    <w:rsid w:val="005A6DAD"/>
    <w:rsid w:val="005A7A6D"/>
    <w:rsid w:val="005A7EB4"/>
    <w:rsid w:val="005D4702"/>
    <w:rsid w:val="005E3CEE"/>
    <w:rsid w:val="005E6EFF"/>
    <w:rsid w:val="005F0314"/>
    <w:rsid w:val="005F5EB1"/>
    <w:rsid w:val="0060071D"/>
    <w:rsid w:val="00600F62"/>
    <w:rsid w:val="00612341"/>
    <w:rsid w:val="006163A4"/>
    <w:rsid w:val="00630805"/>
    <w:rsid w:val="00632402"/>
    <w:rsid w:val="00644847"/>
    <w:rsid w:val="00647070"/>
    <w:rsid w:val="00647334"/>
    <w:rsid w:val="00655E9D"/>
    <w:rsid w:val="00663CCC"/>
    <w:rsid w:val="00673FE7"/>
    <w:rsid w:val="00674723"/>
    <w:rsid w:val="006931D0"/>
    <w:rsid w:val="006A7180"/>
    <w:rsid w:val="006B0EE7"/>
    <w:rsid w:val="006B21F6"/>
    <w:rsid w:val="006C47C0"/>
    <w:rsid w:val="006C5406"/>
    <w:rsid w:val="006C7A43"/>
    <w:rsid w:val="006D4073"/>
    <w:rsid w:val="006E3445"/>
    <w:rsid w:val="0070577E"/>
    <w:rsid w:val="007149AF"/>
    <w:rsid w:val="00732111"/>
    <w:rsid w:val="00736A9E"/>
    <w:rsid w:val="00737B8E"/>
    <w:rsid w:val="00747F3D"/>
    <w:rsid w:val="00755460"/>
    <w:rsid w:val="00793CF7"/>
    <w:rsid w:val="007A104C"/>
    <w:rsid w:val="007D2342"/>
    <w:rsid w:val="007D2CAA"/>
    <w:rsid w:val="007D40E6"/>
    <w:rsid w:val="007F40DF"/>
    <w:rsid w:val="007F54C7"/>
    <w:rsid w:val="00801810"/>
    <w:rsid w:val="008502F0"/>
    <w:rsid w:val="008508D2"/>
    <w:rsid w:val="0085174F"/>
    <w:rsid w:val="00863464"/>
    <w:rsid w:val="00894B46"/>
    <w:rsid w:val="008A5249"/>
    <w:rsid w:val="008B7FED"/>
    <w:rsid w:val="008C3165"/>
    <w:rsid w:val="008C39B8"/>
    <w:rsid w:val="008D5068"/>
    <w:rsid w:val="00901A10"/>
    <w:rsid w:val="0091026C"/>
    <w:rsid w:val="00932A7D"/>
    <w:rsid w:val="00935E92"/>
    <w:rsid w:val="00955AA1"/>
    <w:rsid w:val="009667E4"/>
    <w:rsid w:val="00970613"/>
    <w:rsid w:val="00970C4C"/>
    <w:rsid w:val="00975061"/>
    <w:rsid w:val="009758E5"/>
    <w:rsid w:val="00980863"/>
    <w:rsid w:val="00983C9C"/>
    <w:rsid w:val="0099120A"/>
    <w:rsid w:val="00991E57"/>
    <w:rsid w:val="009A3A34"/>
    <w:rsid w:val="009B2051"/>
    <w:rsid w:val="009B57CE"/>
    <w:rsid w:val="009C4880"/>
    <w:rsid w:val="009D1D38"/>
    <w:rsid w:val="009D29A3"/>
    <w:rsid w:val="009E7FA6"/>
    <w:rsid w:val="009F3A45"/>
    <w:rsid w:val="009F3BFC"/>
    <w:rsid w:val="009F42F2"/>
    <w:rsid w:val="009F72EE"/>
    <w:rsid w:val="00A05094"/>
    <w:rsid w:val="00A17125"/>
    <w:rsid w:val="00A2186A"/>
    <w:rsid w:val="00A26B38"/>
    <w:rsid w:val="00A27314"/>
    <w:rsid w:val="00A32421"/>
    <w:rsid w:val="00A35366"/>
    <w:rsid w:val="00A72E9D"/>
    <w:rsid w:val="00A80D3C"/>
    <w:rsid w:val="00A80E6F"/>
    <w:rsid w:val="00A839F6"/>
    <w:rsid w:val="00AA4350"/>
    <w:rsid w:val="00AB1390"/>
    <w:rsid w:val="00AD2CBC"/>
    <w:rsid w:val="00AE2539"/>
    <w:rsid w:val="00AE327C"/>
    <w:rsid w:val="00AE4186"/>
    <w:rsid w:val="00AE673F"/>
    <w:rsid w:val="00AF22A4"/>
    <w:rsid w:val="00AF2ABF"/>
    <w:rsid w:val="00AF3D9C"/>
    <w:rsid w:val="00B17FA6"/>
    <w:rsid w:val="00B24778"/>
    <w:rsid w:val="00B34DA2"/>
    <w:rsid w:val="00B40BAC"/>
    <w:rsid w:val="00B4297F"/>
    <w:rsid w:val="00B430AB"/>
    <w:rsid w:val="00B544AF"/>
    <w:rsid w:val="00B668F1"/>
    <w:rsid w:val="00B6747E"/>
    <w:rsid w:val="00B822BE"/>
    <w:rsid w:val="00B8503D"/>
    <w:rsid w:val="00B96803"/>
    <w:rsid w:val="00BC1353"/>
    <w:rsid w:val="00BC6B02"/>
    <w:rsid w:val="00BD0209"/>
    <w:rsid w:val="00BD624D"/>
    <w:rsid w:val="00BF1944"/>
    <w:rsid w:val="00BF43A3"/>
    <w:rsid w:val="00BF4F14"/>
    <w:rsid w:val="00BF6E81"/>
    <w:rsid w:val="00C008AE"/>
    <w:rsid w:val="00C03917"/>
    <w:rsid w:val="00C12853"/>
    <w:rsid w:val="00C1731E"/>
    <w:rsid w:val="00C33C6E"/>
    <w:rsid w:val="00C45E9E"/>
    <w:rsid w:val="00C50167"/>
    <w:rsid w:val="00C568B0"/>
    <w:rsid w:val="00C70E73"/>
    <w:rsid w:val="00C74D4C"/>
    <w:rsid w:val="00C75EDD"/>
    <w:rsid w:val="00C86108"/>
    <w:rsid w:val="00C93378"/>
    <w:rsid w:val="00C94EB9"/>
    <w:rsid w:val="00C96518"/>
    <w:rsid w:val="00CA079B"/>
    <w:rsid w:val="00CA14B9"/>
    <w:rsid w:val="00CA6115"/>
    <w:rsid w:val="00CB11FA"/>
    <w:rsid w:val="00CB36C0"/>
    <w:rsid w:val="00CC1A34"/>
    <w:rsid w:val="00CE06B8"/>
    <w:rsid w:val="00CE2F80"/>
    <w:rsid w:val="00CF0094"/>
    <w:rsid w:val="00D0066C"/>
    <w:rsid w:val="00D01EFA"/>
    <w:rsid w:val="00D04FB6"/>
    <w:rsid w:val="00D13D70"/>
    <w:rsid w:val="00D13E67"/>
    <w:rsid w:val="00D14651"/>
    <w:rsid w:val="00D220DB"/>
    <w:rsid w:val="00D434B2"/>
    <w:rsid w:val="00D44F44"/>
    <w:rsid w:val="00D564F7"/>
    <w:rsid w:val="00D63369"/>
    <w:rsid w:val="00D70BB7"/>
    <w:rsid w:val="00D80E0F"/>
    <w:rsid w:val="00DA3400"/>
    <w:rsid w:val="00DB0B27"/>
    <w:rsid w:val="00DB59FA"/>
    <w:rsid w:val="00DC1773"/>
    <w:rsid w:val="00DD1C75"/>
    <w:rsid w:val="00DD1E3F"/>
    <w:rsid w:val="00DE7324"/>
    <w:rsid w:val="00DF1929"/>
    <w:rsid w:val="00E0068B"/>
    <w:rsid w:val="00E051DF"/>
    <w:rsid w:val="00E12458"/>
    <w:rsid w:val="00E151E0"/>
    <w:rsid w:val="00E15E8D"/>
    <w:rsid w:val="00E2515F"/>
    <w:rsid w:val="00E51C20"/>
    <w:rsid w:val="00E567BD"/>
    <w:rsid w:val="00E6362F"/>
    <w:rsid w:val="00E75060"/>
    <w:rsid w:val="00E84D01"/>
    <w:rsid w:val="00E865B1"/>
    <w:rsid w:val="00E954EE"/>
    <w:rsid w:val="00EA137B"/>
    <w:rsid w:val="00EB0DA2"/>
    <w:rsid w:val="00EB236C"/>
    <w:rsid w:val="00EB6411"/>
    <w:rsid w:val="00EB7ADE"/>
    <w:rsid w:val="00EB7E8E"/>
    <w:rsid w:val="00EC22FF"/>
    <w:rsid w:val="00ED441D"/>
    <w:rsid w:val="00ED749A"/>
    <w:rsid w:val="00EE3598"/>
    <w:rsid w:val="00F0653C"/>
    <w:rsid w:val="00F12C4A"/>
    <w:rsid w:val="00F16836"/>
    <w:rsid w:val="00F2339C"/>
    <w:rsid w:val="00F32232"/>
    <w:rsid w:val="00F444F7"/>
    <w:rsid w:val="00F454A7"/>
    <w:rsid w:val="00F54FE1"/>
    <w:rsid w:val="00F668CE"/>
    <w:rsid w:val="00F6723B"/>
    <w:rsid w:val="00F9278D"/>
    <w:rsid w:val="00FA69EE"/>
    <w:rsid w:val="00FD5ECD"/>
    <w:rsid w:val="00FD7466"/>
    <w:rsid w:val="00FD75A3"/>
    <w:rsid w:val="00FE7B05"/>
    <w:rsid w:val="00FF57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75"/>
    <w:pPr>
      <w:ind w:left="720"/>
      <w:contextualSpacing/>
    </w:pPr>
  </w:style>
  <w:style w:type="paragraph" w:styleId="EndnoteText">
    <w:name w:val="endnote text"/>
    <w:basedOn w:val="Normal"/>
    <w:link w:val="EndnoteTextChar"/>
    <w:uiPriority w:val="99"/>
    <w:semiHidden/>
    <w:unhideWhenUsed/>
    <w:rsid w:val="000633B9"/>
    <w:rPr>
      <w:sz w:val="20"/>
      <w:szCs w:val="20"/>
    </w:rPr>
  </w:style>
  <w:style w:type="character" w:customStyle="1" w:styleId="EndnoteTextChar">
    <w:name w:val="Endnote Text Char"/>
    <w:basedOn w:val="DefaultParagraphFont"/>
    <w:link w:val="EndnoteText"/>
    <w:uiPriority w:val="99"/>
    <w:semiHidden/>
    <w:rsid w:val="000633B9"/>
    <w:rPr>
      <w:sz w:val="20"/>
      <w:szCs w:val="20"/>
    </w:rPr>
  </w:style>
  <w:style w:type="character" w:styleId="EndnoteReference">
    <w:name w:val="endnote reference"/>
    <w:basedOn w:val="DefaultParagraphFont"/>
    <w:uiPriority w:val="99"/>
    <w:semiHidden/>
    <w:unhideWhenUsed/>
    <w:rsid w:val="000633B9"/>
    <w:rPr>
      <w:vertAlign w:val="superscript"/>
    </w:rPr>
  </w:style>
  <w:style w:type="table" w:styleId="TableGrid">
    <w:name w:val="Table Grid"/>
    <w:basedOn w:val="TableNormal"/>
    <w:uiPriority w:val="59"/>
    <w:rsid w:val="00454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7180"/>
    <w:rPr>
      <w:rFonts w:ascii="Tahoma" w:hAnsi="Tahoma" w:cs="Tahoma"/>
      <w:sz w:val="16"/>
      <w:szCs w:val="16"/>
    </w:rPr>
  </w:style>
  <w:style w:type="character" w:customStyle="1" w:styleId="BalloonTextChar">
    <w:name w:val="Balloon Text Char"/>
    <w:basedOn w:val="DefaultParagraphFont"/>
    <w:link w:val="BalloonText"/>
    <w:uiPriority w:val="99"/>
    <w:semiHidden/>
    <w:rsid w:val="006A7180"/>
    <w:rPr>
      <w:rFonts w:ascii="Tahoma" w:hAnsi="Tahoma" w:cs="Tahoma"/>
      <w:sz w:val="16"/>
      <w:szCs w:val="16"/>
    </w:rPr>
  </w:style>
  <w:style w:type="character" w:styleId="Hyperlink">
    <w:name w:val="Hyperlink"/>
    <w:basedOn w:val="DefaultParagraphFont"/>
    <w:uiPriority w:val="99"/>
    <w:unhideWhenUsed/>
    <w:rsid w:val="00FD75A3"/>
    <w:rPr>
      <w:color w:val="0000FF" w:themeColor="hyperlink"/>
      <w:u w:val="single"/>
    </w:rPr>
  </w:style>
  <w:style w:type="paragraph" w:styleId="Header">
    <w:name w:val="header"/>
    <w:basedOn w:val="Normal"/>
    <w:link w:val="HeaderChar"/>
    <w:uiPriority w:val="99"/>
    <w:unhideWhenUsed/>
    <w:rsid w:val="0024650F"/>
    <w:pPr>
      <w:tabs>
        <w:tab w:val="center" w:pos="4513"/>
        <w:tab w:val="right" w:pos="9026"/>
      </w:tabs>
    </w:pPr>
  </w:style>
  <w:style w:type="character" w:customStyle="1" w:styleId="HeaderChar">
    <w:name w:val="Header Char"/>
    <w:basedOn w:val="DefaultParagraphFont"/>
    <w:link w:val="Header"/>
    <w:uiPriority w:val="99"/>
    <w:rsid w:val="0024650F"/>
  </w:style>
  <w:style w:type="paragraph" w:styleId="Footer">
    <w:name w:val="footer"/>
    <w:basedOn w:val="Normal"/>
    <w:link w:val="FooterChar"/>
    <w:uiPriority w:val="99"/>
    <w:semiHidden/>
    <w:unhideWhenUsed/>
    <w:rsid w:val="0024650F"/>
    <w:pPr>
      <w:tabs>
        <w:tab w:val="center" w:pos="4513"/>
        <w:tab w:val="right" w:pos="9026"/>
      </w:tabs>
    </w:pPr>
  </w:style>
  <w:style w:type="character" w:customStyle="1" w:styleId="FooterChar">
    <w:name w:val="Footer Char"/>
    <w:basedOn w:val="DefaultParagraphFont"/>
    <w:link w:val="Footer"/>
    <w:uiPriority w:val="99"/>
    <w:semiHidden/>
    <w:rsid w:val="0024650F"/>
  </w:style>
</w:styles>
</file>

<file path=word/webSettings.xml><?xml version="1.0" encoding="utf-8"?>
<w:webSettings xmlns:r="http://schemas.openxmlformats.org/officeDocument/2006/relationships" xmlns:w="http://schemas.openxmlformats.org/wordprocessingml/2006/main">
  <w:divs>
    <w:div w:id="945578067">
      <w:bodyDiv w:val="1"/>
      <w:marLeft w:val="0"/>
      <w:marRight w:val="0"/>
      <w:marTop w:val="0"/>
      <w:marBottom w:val="0"/>
      <w:divBdr>
        <w:top w:val="none" w:sz="0" w:space="0" w:color="auto"/>
        <w:left w:val="none" w:sz="0" w:space="0" w:color="auto"/>
        <w:bottom w:val="none" w:sz="0" w:space="0" w:color="auto"/>
        <w:right w:val="none" w:sz="0" w:space="0" w:color="auto"/>
      </w:divBdr>
      <w:divsChild>
        <w:div w:id="947545609">
          <w:marLeft w:val="0"/>
          <w:marRight w:val="0"/>
          <w:marTop w:val="0"/>
          <w:marBottom w:val="0"/>
          <w:divBdr>
            <w:top w:val="none" w:sz="0" w:space="0" w:color="auto"/>
            <w:left w:val="none" w:sz="0" w:space="0" w:color="auto"/>
            <w:bottom w:val="none" w:sz="0" w:space="0" w:color="auto"/>
            <w:right w:val="none" w:sz="0" w:space="0" w:color="auto"/>
          </w:divBdr>
        </w:div>
        <w:div w:id="472454981">
          <w:marLeft w:val="0"/>
          <w:marRight w:val="0"/>
          <w:marTop w:val="0"/>
          <w:marBottom w:val="0"/>
          <w:divBdr>
            <w:top w:val="none" w:sz="0" w:space="0" w:color="auto"/>
            <w:left w:val="none" w:sz="0" w:space="0" w:color="auto"/>
            <w:bottom w:val="none" w:sz="0" w:space="0" w:color="auto"/>
            <w:right w:val="none" w:sz="0" w:space="0" w:color="auto"/>
          </w:divBdr>
        </w:div>
        <w:div w:id="1184200150">
          <w:marLeft w:val="0"/>
          <w:marRight w:val="0"/>
          <w:marTop w:val="0"/>
          <w:marBottom w:val="0"/>
          <w:divBdr>
            <w:top w:val="none" w:sz="0" w:space="0" w:color="auto"/>
            <w:left w:val="none" w:sz="0" w:space="0" w:color="auto"/>
            <w:bottom w:val="none" w:sz="0" w:space="0" w:color="auto"/>
            <w:right w:val="none" w:sz="0" w:space="0" w:color="auto"/>
          </w:divBdr>
        </w:div>
        <w:div w:id="1069884195">
          <w:marLeft w:val="0"/>
          <w:marRight w:val="0"/>
          <w:marTop w:val="0"/>
          <w:marBottom w:val="0"/>
          <w:divBdr>
            <w:top w:val="none" w:sz="0" w:space="0" w:color="auto"/>
            <w:left w:val="none" w:sz="0" w:space="0" w:color="auto"/>
            <w:bottom w:val="none" w:sz="0" w:space="0" w:color="auto"/>
            <w:right w:val="none" w:sz="0" w:space="0" w:color="auto"/>
          </w:divBdr>
        </w:div>
        <w:div w:id="1971746072">
          <w:marLeft w:val="0"/>
          <w:marRight w:val="0"/>
          <w:marTop w:val="0"/>
          <w:marBottom w:val="0"/>
          <w:divBdr>
            <w:top w:val="none" w:sz="0" w:space="0" w:color="auto"/>
            <w:left w:val="none" w:sz="0" w:space="0" w:color="auto"/>
            <w:bottom w:val="none" w:sz="0" w:space="0" w:color="auto"/>
            <w:right w:val="none" w:sz="0" w:space="0" w:color="auto"/>
          </w:divBdr>
        </w:div>
        <w:div w:id="1048382882">
          <w:marLeft w:val="0"/>
          <w:marRight w:val="0"/>
          <w:marTop w:val="0"/>
          <w:marBottom w:val="0"/>
          <w:divBdr>
            <w:top w:val="none" w:sz="0" w:space="0" w:color="auto"/>
            <w:left w:val="none" w:sz="0" w:space="0" w:color="auto"/>
            <w:bottom w:val="none" w:sz="0" w:space="0" w:color="auto"/>
            <w:right w:val="none" w:sz="0" w:space="0" w:color="auto"/>
          </w:divBdr>
        </w:div>
        <w:div w:id="48846648">
          <w:marLeft w:val="0"/>
          <w:marRight w:val="0"/>
          <w:marTop w:val="0"/>
          <w:marBottom w:val="0"/>
          <w:divBdr>
            <w:top w:val="none" w:sz="0" w:space="0" w:color="auto"/>
            <w:left w:val="none" w:sz="0" w:space="0" w:color="auto"/>
            <w:bottom w:val="none" w:sz="0" w:space="0" w:color="auto"/>
            <w:right w:val="none" w:sz="0" w:space="0" w:color="auto"/>
          </w:divBdr>
        </w:div>
        <w:div w:id="4381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cm201314/cmselect/cmworpen/479/479vw.pdf"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jobseekers-allowance-claimants-by-jobcentre-plus-district-from-march-2008-to-october-2012-201322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umber-of-jobseekers-allowance-sanctions-and-disallowances-where-a-decision-has-been-made-in-each-month-from-1-april-2000-to-21-october-2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nditionality-and-sanctions-a-report-to-the-secretary-of-state-for-work-and-pension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20Webster\Desktop\Research%20Files\Benefit%20sanctions%2022%20Jan%2013\Data\DW%20spreadsheets\LA,%20Region%20&amp;%20Jobcentre\38Jobcentre%20analysis%2029%20Jun%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Jobcentre Plus</a:t>
            </a:r>
            <a:r>
              <a:rPr lang="en-GB" baseline="0"/>
              <a:t> offices: All referrals for sanction/disallowance per month as percentage of claimants, 2008 Q2 to 2012 Q3</a:t>
            </a:r>
            <a:endParaRPr lang="en-GB"/>
          </a:p>
        </c:rich>
      </c:tx>
    </c:title>
    <c:plotArea>
      <c:layout>
        <c:manualLayout>
          <c:layoutTarget val="inner"/>
          <c:xMode val="edge"/>
          <c:yMode val="edge"/>
          <c:x val="5.2717471121036308E-2"/>
          <c:y val="0.13189746388505391"/>
          <c:w val="0.9131774580271228"/>
          <c:h val="0.81573934071511811"/>
        </c:manualLayout>
      </c:layout>
      <c:barChart>
        <c:barDir val="col"/>
        <c:grouping val="clustered"/>
        <c:ser>
          <c:idx val="0"/>
          <c:order val="0"/>
          <c:tx>
            <c:strRef>
              <c:f>'League tables'!$BP$734</c:f>
              <c:strCache>
                <c:ptCount val="1"/>
                <c:pt idx="0">
                  <c:v>Standard deviation</c:v>
                </c:pt>
              </c:strCache>
            </c:strRef>
          </c:tx>
          <c:cat>
            <c:strRef>
              <c:f>'League tables'!$BQ$733:$CH$733</c:f>
              <c:strCache>
                <c:ptCount val="18"/>
                <c:pt idx="0">
                  <c:v>2008-2</c:v>
                </c:pt>
                <c:pt idx="1">
                  <c:v>2008-3</c:v>
                </c:pt>
                <c:pt idx="2">
                  <c:v>2008-4</c:v>
                </c:pt>
                <c:pt idx="3">
                  <c:v>2009-1</c:v>
                </c:pt>
                <c:pt idx="4">
                  <c:v>2009-2</c:v>
                </c:pt>
                <c:pt idx="5">
                  <c:v>2009-3</c:v>
                </c:pt>
                <c:pt idx="6">
                  <c:v>2009-4</c:v>
                </c:pt>
                <c:pt idx="7">
                  <c:v>2010-1</c:v>
                </c:pt>
                <c:pt idx="8">
                  <c:v>2010-2</c:v>
                </c:pt>
                <c:pt idx="9">
                  <c:v>2010-3</c:v>
                </c:pt>
                <c:pt idx="10">
                  <c:v>2010-4</c:v>
                </c:pt>
                <c:pt idx="11">
                  <c:v>2011-1</c:v>
                </c:pt>
                <c:pt idx="12">
                  <c:v>2011-2</c:v>
                </c:pt>
                <c:pt idx="13">
                  <c:v>2011-3</c:v>
                </c:pt>
                <c:pt idx="14">
                  <c:v>2011-4</c:v>
                </c:pt>
                <c:pt idx="15">
                  <c:v>2012-1</c:v>
                </c:pt>
                <c:pt idx="16">
                  <c:v>2012-2</c:v>
                </c:pt>
                <c:pt idx="17">
                  <c:v>2012-3</c:v>
                </c:pt>
              </c:strCache>
            </c:strRef>
          </c:cat>
          <c:val>
            <c:numRef>
              <c:f>'League tables'!$BQ$734:$CH$734</c:f>
              <c:numCache>
                <c:formatCode>0.00</c:formatCode>
                <c:ptCount val="18"/>
                <c:pt idx="0">
                  <c:v>3.6263897583416047</c:v>
                </c:pt>
                <c:pt idx="1">
                  <c:v>3.0603333944150872</c:v>
                </c:pt>
                <c:pt idx="2">
                  <c:v>2.3626825074182767</c:v>
                </c:pt>
                <c:pt idx="3">
                  <c:v>2.0091181573095689</c:v>
                </c:pt>
                <c:pt idx="4">
                  <c:v>1.903183938386698</c:v>
                </c:pt>
                <c:pt idx="5">
                  <c:v>2.4173108922721402</c:v>
                </c:pt>
                <c:pt idx="6">
                  <c:v>2.2444952147779111</c:v>
                </c:pt>
                <c:pt idx="7">
                  <c:v>2.4869416135244737</c:v>
                </c:pt>
                <c:pt idx="8">
                  <c:v>2.5941984384342187</c:v>
                </c:pt>
                <c:pt idx="9">
                  <c:v>3.3005918178357612</c:v>
                </c:pt>
                <c:pt idx="10">
                  <c:v>3.2441772408429514</c:v>
                </c:pt>
                <c:pt idx="11">
                  <c:v>2.9429139645689273</c:v>
                </c:pt>
                <c:pt idx="12">
                  <c:v>2.7299855370512272</c:v>
                </c:pt>
                <c:pt idx="13">
                  <c:v>2.5958773972228748</c:v>
                </c:pt>
                <c:pt idx="14">
                  <c:v>2.4767418667878407</c:v>
                </c:pt>
                <c:pt idx="15">
                  <c:v>2.6783281295481527</c:v>
                </c:pt>
                <c:pt idx="16">
                  <c:v>3.1994153612771585</c:v>
                </c:pt>
                <c:pt idx="17">
                  <c:v>3.5039293467413883</c:v>
                </c:pt>
              </c:numCache>
            </c:numRef>
          </c:val>
        </c:ser>
        <c:ser>
          <c:idx val="1"/>
          <c:order val="1"/>
          <c:tx>
            <c:strRef>
              <c:f>'League tables'!$BP$735</c:f>
              <c:strCache>
                <c:ptCount val="1"/>
                <c:pt idx="0">
                  <c:v>Coefficient of variation</c:v>
                </c:pt>
              </c:strCache>
            </c:strRef>
          </c:tx>
          <c:cat>
            <c:strRef>
              <c:f>'League tables'!$BQ$733:$CH$733</c:f>
              <c:strCache>
                <c:ptCount val="18"/>
                <c:pt idx="0">
                  <c:v>2008-2</c:v>
                </c:pt>
                <c:pt idx="1">
                  <c:v>2008-3</c:v>
                </c:pt>
                <c:pt idx="2">
                  <c:v>2008-4</c:v>
                </c:pt>
                <c:pt idx="3">
                  <c:v>2009-1</c:v>
                </c:pt>
                <c:pt idx="4">
                  <c:v>2009-2</c:v>
                </c:pt>
                <c:pt idx="5">
                  <c:v>2009-3</c:v>
                </c:pt>
                <c:pt idx="6">
                  <c:v>2009-4</c:v>
                </c:pt>
                <c:pt idx="7">
                  <c:v>2010-1</c:v>
                </c:pt>
                <c:pt idx="8">
                  <c:v>2010-2</c:v>
                </c:pt>
                <c:pt idx="9">
                  <c:v>2010-3</c:v>
                </c:pt>
                <c:pt idx="10">
                  <c:v>2010-4</c:v>
                </c:pt>
                <c:pt idx="11">
                  <c:v>2011-1</c:v>
                </c:pt>
                <c:pt idx="12">
                  <c:v>2011-2</c:v>
                </c:pt>
                <c:pt idx="13">
                  <c:v>2011-3</c:v>
                </c:pt>
                <c:pt idx="14">
                  <c:v>2011-4</c:v>
                </c:pt>
                <c:pt idx="15">
                  <c:v>2012-1</c:v>
                </c:pt>
                <c:pt idx="16">
                  <c:v>2012-2</c:v>
                </c:pt>
                <c:pt idx="17">
                  <c:v>2012-3</c:v>
                </c:pt>
              </c:strCache>
            </c:strRef>
          </c:cat>
          <c:val>
            <c:numRef>
              <c:f>'League tables'!$BQ$735:$CH$735</c:f>
              <c:numCache>
                <c:formatCode>0.00</c:formatCode>
                <c:ptCount val="18"/>
                <c:pt idx="0">
                  <c:v>0.46035084257252634</c:v>
                </c:pt>
                <c:pt idx="1">
                  <c:v>0.41190433254559816</c:v>
                </c:pt>
                <c:pt idx="2">
                  <c:v>0.40586748534719774</c:v>
                </c:pt>
                <c:pt idx="3">
                  <c:v>0.41707841529363954</c:v>
                </c:pt>
                <c:pt idx="4">
                  <c:v>0.42825128619889641</c:v>
                </c:pt>
                <c:pt idx="5">
                  <c:v>0.45230002473912084</c:v>
                </c:pt>
                <c:pt idx="6">
                  <c:v>0.39318623671656489</c:v>
                </c:pt>
                <c:pt idx="7">
                  <c:v>0.39616274820243375</c:v>
                </c:pt>
                <c:pt idx="8">
                  <c:v>0.34411829156237955</c:v>
                </c:pt>
                <c:pt idx="9">
                  <c:v>0.32357685668614222</c:v>
                </c:pt>
                <c:pt idx="10">
                  <c:v>0.31923142462957116</c:v>
                </c:pt>
                <c:pt idx="11">
                  <c:v>0.29724783979090985</c:v>
                </c:pt>
                <c:pt idx="12">
                  <c:v>0.36099428620567298</c:v>
                </c:pt>
                <c:pt idx="13">
                  <c:v>0.40208564879258984</c:v>
                </c:pt>
                <c:pt idx="14">
                  <c:v>0.36829552294471635</c:v>
                </c:pt>
                <c:pt idx="15">
                  <c:v>0.3366377835520985</c:v>
                </c:pt>
                <c:pt idx="16">
                  <c:v>0.34685662750753626</c:v>
                </c:pt>
                <c:pt idx="17">
                  <c:v>0.32438951792209597</c:v>
                </c:pt>
              </c:numCache>
            </c:numRef>
          </c:val>
        </c:ser>
        <c:ser>
          <c:idx val="2"/>
          <c:order val="2"/>
          <c:tx>
            <c:strRef>
              <c:f>'League tables'!$BP$736</c:f>
              <c:strCache>
                <c:ptCount val="1"/>
                <c:pt idx="0">
                  <c:v>Mean (GB)</c:v>
                </c:pt>
              </c:strCache>
            </c:strRef>
          </c:tx>
          <c:cat>
            <c:strRef>
              <c:f>'League tables'!$BQ$733:$CH$733</c:f>
              <c:strCache>
                <c:ptCount val="18"/>
                <c:pt idx="0">
                  <c:v>2008-2</c:v>
                </c:pt>
                <c:pt idx="1">
                  <c:v>2008-3</c:v>
                </c:pt>
                <c:pt idx="2">
                  <c:v>2008-4</c:v>
                </c:pt>
                <c:pt idx="3">
                  <c:v>2009-1</c:v>
                </c:pt>
                <c:pt idx="4">
                  <c:v>2009-2</c:v>
                </c:pt>
                <c:pt idx="5">
                  <c:v>2009-3</c:v>
                </c:pt>
                <c:pt idx="6">
                  <c:v>2009-4</c:v>
                </c:pt>
                <c:pt idx="7">
                  <c:v>2010-1</c:v>
                </c:pt>
                <c:pt idx="8">
                  <c:v>2010-2</c:v>
                </c:pt>
                <c:pt idx="9">
                  <c:v>2010-3</c:v>
                </c:pt>
                <c:pt idx="10">
                  <c:v>2010-4</c:v>
                </c:pt>
                <c:pt idx="11">
                  <c:v>2011-1</c:v>
                </c:pt>
                <c:pt idx="12">
                  <c:v>2011-2</c:v>
                </c:pt>
                <c:pt idx="13">
                  <c:v>2011-3</c:v>
                </c:pt>
                <c:pt idx="14">
                  <c:v>2011-4</c:v>
                </c:pt>
                <c:pt idx="15">
                  <c:v>2012-1</c:v>
                </c:pt>
                <c:pt idx="16">
                  <c:v>2012-2</c:v>
                </c:pt>
                <c:pt idx="17">
                  <c:v>2012-3</c:v>
                </c:pt>
              </c:strCache>
            </c:strRef>
          </c:cat>
          <c:val>
            <c:numRef>
              <c:f>'League tables'!$BQ$736:$CH$736</c:f>
              <c:numCache>
                <c:formatCode>0.00</c:formatCode>
                <c:ptCount val="18"/>
                <c:pt idx="0">
                  <c:v>7.8774478571096918</c:v>
                </c:pt>
                <c:pt idx="1">
                  <c:v>7.4297188755020089</c:v>
                </c:pt>
                <c:pt idx="2">
                  <c:v>5.821315066411727</c:v>
                </c:pt>
                <c:pt idx="3">
                  <c:v>4.8171233121596018</c:v>
                </c:pt>
                <c:pt idx="4">
                  <c:v>4.444082247315837</c:v>
                </c:pt>
                <c:pt idx="5">
                  <c:v>5.3444854301442835</c:v>
                </c:pt>
                <c:pt idx="6">
                  <c:v>5.7084785915227574</c:v>
                </c:pt>
                <c:pt idx="7">
                  <c:v>6.2775756297350842</c:v>
                </c:pt>
                <c:pt idx="8">
                  <c:v>7.5386821974965352</c:v>
                </c:pt>
                <c:pt idx="9">
                  <c:v>10.200333397259062</c:v>
                </c:pt>
                <c:pt idx="10">
                  <c:v>10.162462059013809</c:v>
                </c:pt>
                <c:pt idx="11">
                  <c:v>9.9005394509815048</c:v>
                </c:pt>
                <c:pt idx="12">
                  <c:v>7.5624065016249356</c:v>
                </c:pt>
                <c:pt idx="13">
                  <c:v>6.4560309601149735</c:v>
                </c:pt>
                <c:pt idx="14">
                  <c:v>6.7248763899842885</c:v>
                </c:pt>
                <c:pt idx="15">
                  <c:v>7.9561126540439506</c:v>
                </c:pt>
                <c:pt idx="16">
                  <c:v>9.2240283377824479</c:v>
                </c:pt>
                <c:pt idx="17">
                  <c:v>10.801610881837696</c:v>
                </c:pt>
              </c:numCache>
            </c:numRef>
          </c:val>
        </c:ser>
        <c:axId val="55746944"/>
        <c:axId val="55748480"/>
      </c:barChart>
      <c:catAx>
        <c:axId val="55746944"/>
        <c:scaling>
          <c:orientation val="minMax"/>
        </c:scaling>
        <c:axPos val="b"/>
        <c:tickLblPos val="nextTo"/>
        <c:crossAx val="55748480"/>
        <c:crosses val="autoZero"/>
        <c:auto val="1"/>
        <c:lblAlgn val="ctr"/>
        <c:lblOffset val="100"/>
      </c:catAx>
      <c:valAx>
        <c:axId val="55748480"/>
        <c:scaling>
          <c:orientation val="minMax"/>
        </c:scaling>
        <c:axPos val="l"/>
        <c:majorGridlines/>
        <c:numFmt formatCode="0.00" sourceLinked="1"/>
        <c:tickLblPos val="nextTo"/>
        <c:crossAx val="55746944"/>
        <c:crosses val="autoZero"/>
        <c:crossBetween val="between"/>
      </c:valAx>
    </c:plotArea>
    <c:legend>
      <c:legendPos val="r"/>
      <c:layout>
        <c:manualLayout>
          <c:xMode val="edge"/>
          <c:yMode val="edge"/>
          <c:x val="0.17747352033133951"/>
          <c:y val="0.20920096900121091"/>
          <c:w val="0.22652460521642723"/>
          <c:h val="0.19966568884771774"/>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D9AFC-D880-48A8-8B1C-AD5B587B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14</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Webster</dc:creator>
  <cp:lastModifiedBy>David Webster</cp:lastModifiedBy>
  <cp:revision>231</cp:revision>
  <cp:lastPrinted>2013-08-08T16:50:00Z</cp:lastPrinted>
  <dcterms:created xsi:type="dcterms:W3CDTF">2013-07-16T10:36:00Z</dcterms:created>
  <dcterms:modified xsi:type="dcterms:W3CDTF">2014-01-28T11:53:00Z</dcterms:modified>
</cp:coreProperties>
</file>